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false"/>
        <w:pageBreakBefore w:val="false"/>
        <w:widowControl/>
        <w:pBdr/>
        <w:bidi w:val="0"/>
        <w:spacing w:before="16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Proxy Statement Pursuant to Section 14(a) of the </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13" w:type="dxa"/>
        <w:jc w:val="left"/>
        <w:tblInd w:w="0" w:type="dxa"/>
        <w:tblLayout w:type="fixed"/>
        <w:tblCellMar>
          <w:top w:w="0" w:type="dxa"/>
          <w:left w:w="0" w:type="dxa"/>
          <w:bottom w:w="0" w:type="dxa"/>
          <w:right w:w="0" w:type="dxa"/>
        </w:tblCellMar>
      </w:tblPr>
      <w:tblGrid>
        <w:gridCol w:w="331"/>
        <w:gridCol w:w="146"/>
        <w:gridCol w:w="7936"/>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RYTHM, Inc.</w:t>
        <w:br/>
      </w:r>
      <w:r>
        <w:rPr>
          <w:rFonts w:ascii="Times New Roman PS Std;serif" w:hAnsi="Times New Roman PS Std;serif"/>
          <w:b/>
          <w:i w:val="false"/>
          <w:caps w:val="false"/>
          <w:smallCaps w:val="false"/>
          <w:sz w:val="20"/>
        </w:rPr>
        <w:t>(Name of Registrant as Specified In Its Charter)</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keepNext w:val="false"/>
        <w:pageBreakBefore w:val="false"/>
        <w:widowControl/>
        <w:pBdr/>
        <w:bidi w:val="0"/>
        <w:spacing w:before="24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524000" cy="13258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1325880"/>
                    </a:xfrm>
                    <a:prstGeom prst="rect">
                      <a:avLst/>
                    </a:prstGeom>
                  </pic:spPr>
                </pic:pic>
              </a:graphicData>
            </a:graphic>
          </wp:inline>
        </w:drawing>
      </w:r>
    </w:p>
    <w:p>
      <w:pPr>
        <w:pStyle w:val="TextBody"/>
        <w:keepNext w:val="true"/>
        <w:pageBreakBefore w:val="false"/>
        <w:widowControl/>
        <w:pBdr/>
        <w:bidi w:val="0"/>
        <w:spacing w:before="3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RYTHM, INC.</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OF STOCKHOLDERS</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April 27, 2026</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AND PROXY STATEMENT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524000" cy="13258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1325880"/>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RYTHM, Inc.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behalf of the Board of Directors, I am pleased to invite you to attend the RYTHM, Inc. (“RYTHM” or the “Company”) Virtual Annual Meeting of Stockholders to be held on Tuesday, June 16, 2026, at 3:00 p.m., Central Time. To be admitted to the Annual Meeting at </w:t>
      </w:r>
      <w:r>
        <w:rPr>
          <w:rFonts w:ascii="Times New Roman PS Std;serif" w:hAnsi="Times New Roman PS Std;serif"/>
          <w:b w:val="false"/>
          <w:i/>
          <w:caps w:val="false"/>
          <w:smallCaps w:val="false"/>
          <w:sz w:val="20"/>
        </w:rPr>
        <w:t>www.virtualshareholdermeeting.com/RYM2026</w:t>
      </w:r>
      <w:r>
        <w:rPr>
          <w:rFonts w:ascii="Times New Roman PS Std;serif" w:hAnsi="Times New Roman PS Std;serif"/>
          <w:b w:val="false"/>
          <w:i w:val="false"/>
          <w:caps w:val="false"/>
          <w:smallCaps w:val="false"/>
          <w:sz w:val="20"/>
        </w:rPr>
        <w:t>, you must enter the control number found on your proxy card, voting instruction form or notice you previously received. You may vote during the Annual Meeting by following the instructions available on the meeting website during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meeting, you and the other stockholders will be asked to vote upon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elect seven directors, each for a one-year term;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ratify the appointment of GuzmanGray as the Company’s independent registered public accounting firm for the fiscal year ending December 31, 2026;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an amendment to the RYTHM, Inc. 2022 Omnibus Equity Incentive Plan to increase the number of shares of Common Stock available for issuance thereunder by 115,000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20, 2026, the Company had 2,149,128 shares of Common Stock outstanding. Only shareholders of record as of the close of business on April 20, 2026 are entitled to receive notice of, to attend, and to vote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can attend the meeting, please read the attached proxy statement. When you have done so, please </w:t>
      </w:r>
      <w:r>
        <w:rPr>
          <w:rFonts w:ascii="Times New Roman PS Std;serif" w:hAnsi="Times New Roman PS Std;serif"/>
          <w:b/>
          <w:i w:val="false"/>
          <w:caps w:val="false"/>
          <w:smallCaps w:val="false"/>
          <w:sz w:val="20"/>
        </w:rPr>
        <w:t>mark your vote on the proxy card</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sign and date the proxy card, and return it to us. </w:t>
      </w:r>
      <w:r>
        <w:rPr>
          <w:rFonts w:ascii="Times New Roman PS Std;serif" w:hAnsi="Times New Roman PS Std;serif"/>
          <w:b w:val="false"/>
          <w:i w:val="false"/>
          <w:caps w:val="false"/>
          <w:smallCaps w:val="false"/>
          <w:sz w:val="20"/>
        </w:rPr>
        <w:t>Alternatively, you may cast your vote by telephone, or through the Internet. Instructions for voting by telephone or through the Internet are included with your </w:t>
      </w:r>
      <w:r>
        <w:rPr>
          <w:rFonts w:ascii="Times New Roman PS Std;serif" w:hAnsi="Times New Roman PS Std;serif"/>
          <w:b/>
          <w:i w:val="false"/>
          <w:caps w:val="false"/>
          <w:smallCaps w:val="false"/>
          <w:sz w:val="20"/>
        </w:rPr>
        <w:t>proxy</w:t>
      </w:r>
      <w:r>
        <w:rPr>
          <w:rFonts w:ascii="Times New Roman PS Std;serif" w:hAnsi="Times New Roman PS Std;serif"/>
          <w:b w:val="false"/>
          <w:i w:val="false"/>
          <w:caps w:val="false"/>
          <w:smallCaps w:val="false"/>
          <w:sz w:val="20"/>
        </w:rPr>
        <w:t>. Your vote is important. Please act promptly by voting your shares by telephone, via the Internet, or by signing, dating and returning the proxy card.</w:t>
      </w:r>
    </w:p>
    <w:p>
      <w:pPr>
        <w:pStyle w:val="TextBody"/>
        <w:keepNext w:val="false"/>
        <w:pageBreakBefore w:val="false"/>
        <w:widowControl/>
        <w:pBdr/>
        <w:bidi w:val="0"/>
        <w:spacing w:before="160" w:after="16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continued interest in RYTHM. We look forward to seeing you at the meeting.</w:t>
      </w:r>
    </w:p>
    <w:tbl>
      <w:tblPr>
        <w:tblW w:w="4883" w:type="dxa"/>
        <w:jc w:val="left"/>
        <w:tblInd w:w="0" w:type="dxa"/>
        <w:tblLayout w:type="fixed"/>
        <w:tblCellMar>
          <w:top w:w="0" w:type="dxa"/>
          <w:left w:w="0" w:type="dxa"/>
          <w:bottom w:w="0" w:type="dxa"/>
          <w:right w:w="0" w:type="dxa"/>
        </w:tblCellMar>
      </w:tblPr>
      <w:tblGrid>
        <w:gridCol w:w="4546"/>
        <w:gridCol w:w="146"/>
        <w:gridCol w:w="191"/>
      </w:tblGrid>
      <w:tr>
        <w:trPr/>
        <w:tc>
          <w:tcPr>
            <w:tcW w:w="45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5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5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546"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Chairman and Interim 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 Hicks Road, Suite 210, Rolling Meadows, IL 60008 • Tel: (855) 420-0020</w:t>
        <w:br/>
        <w:t xml:space="preserve">ir@rythminc.com • </w:t>
      </w:r>
      <w:r>
        <w:rPr>
          <w:rFonts w:ascii="Times New Roman PS Std;serif" w:hAnsi="Times New Roman PS Std;serif"/>
          <w:b w:val="false"/>
          <w:i/>
          <w:caps w:val="false"/>
          <w:smallCaps w:val="false"/>
          <w:sz w:val="20"/>
        </w:rPr>
        <w:t>www.rythminc.com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524000" cy="13258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1325880"/>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RYTHM, Inc.</w:t>
        <w:br/>
        <w:t>2220 Hicks Road, Suite 210</w:t>
        <w:br/>
        <w:t>Rolling Meadows, IL 60008</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MEETING OF STOCKHOLDERS</w:t>
        <w:br/>
        <w:t>To Be Held Tuesday, June 16, 2026</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RYTHM, Inc. Stockholders: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RYTHM, Inc. (“RYTHM”) will hold its Virtual Annual Meeting of Stockholders on Tuesday, June 16, 2026 at 3:00 p.m., Central Time. To be admitted to the Annual Meeting at </w:t>
      </w:r>
      <w:r>
        <w:rPr>
          <w:rFonts w:ascii="Times New Roman PS Std;serif" w:hAnsi="Times New Roman PS Std;serif"/>
          <w:b w:val="false"/>
          <w:i/>
          <w:caps w:val="false"/>
          <w:smallCaps w:val="false"/>
          <w:sz w:val="20"/>
        </w:rPr>
        <w:t>www.virtualshareholdermeeting.com/RYM2026,</w:t>
      </w:r>
      <w:r>
        <w:rPr>
          <w:rFonts w:ascii="Times New Roman PS Std;serif" w:hAnsi="Times New Roman PS Std;serif"/>
          <w:b w:val="false"/>
          <w:i w:val="false"/>
          <w:caps w:val="false"/>
          <w:smallCaps w:val="false"/>
          <w:sz w:val="20"/>
        </w:rPr>
        <w:t xml:space="preserve"> you must enter the control number found on your proxy card, voting instruction form or notice you previously received. You may vote during the Annual Meeting by following the instructions available on the meeting website during the meeting.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holding this meeting for the following purposes: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elect seven directors, each for a one-year term;</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ratify the appointment of GuzmanGray as the Company’s independent registered public accounting firm for the fiscal year ending December 31, 2026;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an amendment to the RYTHM, Inc. 2022 Omnibus Equity Incentive Plan to increase the number of shares of Common Stock available for issuance thereunder by 115,000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selected April 20, 2026 as the record date for determining stockholders entitled to vote at the Annual Meeting. As of April 20, 2026, RYTHM had 2,149,128 shares of Common Stock outstanding. A list of stockholders on that date will be available for inspection at RYTHM’s corporate headquarters, 2220 Hicks Road, Suite 210, Rolling Meadows, IL 60008, during normal business hours for the ten-day period prior to the Annual Meeting. Only holders of our Common Stock as of the close of business on April 20, 2026 are entitled to vote at the Annual Meeting or any adjournment thereof.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about April 29, 2026, we are mailing to our stockholders our proxy statement, proxy and 2025 Annual Report on Form 10-K, as amended.</w:t>
      </w:r>
    </w:p>
    <w:tbl>
      <w:tblPr>
        <w:tblW w:w="3833" w:type="dxa"/>
        <w:jc w:val="left"/>
        <w:tblInd w:w="0" w:type="dxa"/>
        <w:tblLayout w:type="fixed"/>
        <w:tblCellMar>
          <w:top w:w="0" w:type="dxa"/>
          <w:left w:w="0" w:type="dxa"/>
          <w:bottom w:w="0" w:type="dxa"/>
          <w:right w:w="0" w:type="dxa"/>
        </w:tblCellMar>
      </w:tblPr>
      <w:tblGrid>
        <w:gridCol w:w="3496"/>
        <w:gridCol w:w="146"/>
        <w:gridCol w:w="191"/>
      </w:tblGrid>
      <w:tr>
        <w:trPr/>
        <w:tc>
          <w:tcPr>
            <w:tcW w:w="34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4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496"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Secretary</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Rolling Meadows, Illinois </w:t>
        <w:br/>
        <w:t>April 27,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Important Notice Regarding Availability of Proxy Materials for the Virtual Annual Meeting of Stockholders to be Held on June 16, 2026: The Notice of Annual Meeting and Proxy Statement and our 2025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are available at </w:t>
      </w:r>
      <w:r>
        <w:rPr>
          <w:rFonts w:ascii="Times New Roman PS Std;serif" w:hAnsi="Times New Roman PS Std;serif"/>
          <w:b/>
          <w:i/>
          <w:caps w:val="false"/>
          <w:smallCaps w:val="false"/>
          <w:sz w:val="20"/>
        </w:rPr>
        <w:t>www.proxyvote.com</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 Hicks Road, Suite 210, Rolling Meadows, IL 60008 • Tel: (855) 420-0020</w:t>
        <w:br/>
        <w:t xml:space="preserve">ir@rythminc.com • </w:t>
      </w:r>
      <w:r>
        <w:rPr>
          <w:rFonts w:ascii="Times New Roman PS Std;serif" w:hAnsi="Times New Roman PS Std;serif"/>
          <w:b w:val="false"/>
          <w:i/>
          <w:caps w:val="false"/>
          <w:smallCaps w:val="false"/>
          <w:sz w:val="20"/>
        </w:rPr>
        <w:t>www.rythminc.com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virtual Annual Meeting of Stockholders, all stockholders are invited to attend a reception at Garcia’s Chicago (1001 W Washington Blvd, Chicago, IL 60607) on Tuesday, June 16, 2026 at 3:30 p.m. (Central time), where food and beverages will be provided. Shareholders who arrive early may observe the virtual meeting at Garcia’s. Doors will open at 1:00 p.m. As the meeting will be entirely virtual, persons at Garcia’s will not be counted as attendees of the meeting for any purpose, and will not be permitted to ask questions or vote. Questions and voting will only take place at the official meeting location, www.virtualshareholdermeeting.com/RYM2026, and in accordance with the meeting rules and procedures posted therein.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expect to attend the virtual annual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RYTHM,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9808" w:type="dxa"/>
        <w:jc w:val="left"/>
        <w:tblInd w:w="0" w:type="dxa"/>
        <w:tblLayout w:type="fixed"/>
        <w:tblCellMar>
          <w:top w:w="0" w:type="dxa"/>
          <w:left w:w="0" w:type="dxa"/>
          <w:bottom w:w="0" w:type="dxa"/>
          <w:right w:w="0" w:type="dxa"/>
        </w:tblCellMar>
      </w:tblPr>
      <w:tblGrid>
        <w:gridCol w:w="8941"/>
        <w:gridCol w:w="146"/>
        <w:gridCol w:w="721"/>
      </w:tblGrid>
      <w:tr>
        <w:trPr/>
        <w:tc>
          <w:tcPr>
            <w:tcW w:w="8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00">
              <w:r>
                <w:rPr>
                  <w:rStyle w:val="InternetLink"/>
                  <w:rFonts w:ascii="Times New Roman PS Std;serif" w:hAnsi="Times New Roman PS Std;serif"/>
                  <w:b w:val="false"/>
                  <w:i w:val="false"/>
                  <w:caps w:val="false"/>
                  <w:smallCaps w:val="false"/>
                  <w:sz w:val="20"/>
                </w:rPr>
                <w:t xml:space="preserve">GENERAL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99501">
              <w:r>
                <w:rPr>
                  <w:rStyle w:val="InternetLink"/>
                  <w:rFonts w:ascii="Times New Roman PS Std;serif" w:hAnsi="Times New Roman PS Std;serif"/>
                  <w:b w:val="false"/>
                  <w:i w:val="false"/>
                  <w:caps w:val="false"/>
                  <w:smallCaps w:val="false"/>
                  <w:sz w:val="20"/>
                </w:rPr>
                <w:t xml:space="preserve">ITEM 1 — ELECTION OF DIRECTORS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02">
              <w:r>
                <w:rPr>
                  <w:rStyle w:val="InternetLink"/>
                  <w:rFonts w:ascii="Times New Roman PS Std;serif" w:hAnsi="Times New Roman PS Std;serif"/>
                  <w:b w:val="false"/>
                  <w:i w:val="false"/>
                  <w:caps w:val="false"/>
                  <w:smallCaps w:val="false"/>
                  <w:sz w:val="20"/>
                </w:rPr>
                <w:t xml:space="preserve">CORPORATE GOVERNANCE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99503">
              <w:r>
                <w:rPr>
                  <w:rStyle w:val="InternetLink"/>
                  <w:rFonts w:ascii="Times New Roman PS Std;serif" w:hAnsi="Times New Roman PS Std;serif"/>
                  <w:b w:val="false"/>
                  <w:i w:val="false"/>
                  <w:caps w:val="false"/>
                  <w:smallCaps w:val="false"/>
                  <w:sz w:val="20"/>
                </w:rPr>
                <w:t xml:space="preserve">STOCK OWNERSHIP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04">
              <w:r>
                <w:rPr>
                  <w:rStyle w:val="InternetLink"/>
                  <w:rFonts w:ascii="Times New Roman PS Std;serif" w:hAnsi="Times New Roman PS Std;serif"/>
                  <w:b w:val="false"/>
                  <w:i w:val="false"/>
                  <w:caps w:val="false"/>
                  <w:smallCaps w:val="false"/>
                  <w:sz w:val="20"/>
                </w:rPr>
                <w:t xml:space="preserve">EQUITY COMPENSATION PLANS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99505">
              <w:r>
                <w:rPr>
                  <w:rStyle w:val="InternetLink"/>
                  <w:rFonts w:ascii="Times New Roman PS Std;serif" w:hAnsi="Times New Roman PS Std;serif"/>
                  <w:b w:val="false"/>
                  <w:i w:val="false"/>
                  <w:caps w:val="false"/>
                  <w:smallCaps w:val="false"/>
                  <w:sz w:val="20"/>
                </w:rPr>
                <w:t xml:space="preserve">EXECUTIVE OFFICERS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06">
              <w:r>
                <w:rPr>
                  <w:rStyle w:val="InternetLink"/>
                  <w:rFonts w:ascii="Times New Roman PS Std;serif" w:hAnsi="Times New Roman PS Std;serif"/>
                  <w:b w:val="false"/>
                  <w:i w:val="false"/>
                  <w:caps w:val="false"/>
                  <w:smallCaps w:val="false"/>
                  <w:sz w:val="20"/>
                </w:rPr>
                <w:t xml:space="preserve">COMPENSATION OF NAMED EXECUTIVE OFFICERS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99507">
              <w:r>
                <w:rPr>
                  <w:rStyle w:val="InternetLink"/>
                  <w:rFonts w:ascii="Times New Roman PS Std;serif" w:hAnsi="Times New Roman PS Std;serif"/>
                  <w:b w:val="false"/>
                  <w:i w:val="false"/>
                  <w:caps w:val="false"/>
                  <w:smallCaps w:val="false"/>
                  <w:sz w:val="20"/>
                </w:rPr>
                <w:t xml:space="preserve">REPORT OF THE AUDIT COMMITTEE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08">
              <w:r>
                <w:rPr>
                  <w:rStyle w:val="InternetLink"/>
                  <w:rFonts w:ascii="Times New Roman PS Std;serif" w:hAnsi="Times New Roman PS Std;serif"/>
                  <w:b w:val="false"/>
                  <w:i w:val="false"/>
                  <w:caps w:val="false"/>
                  <w:smallCaps w:val="false"/>
                  <w:sz w:val="20"/>
                </w:rPr>
                <w:t xml:space="preserve">ITEM 2 — RATIFICATION OF AUDITOR APPOINTMENT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99509">
              <w:r>
                <w:rPr>
                  <w:rStyle w:val="InternetLink"/>
                  <w:rFonts w:ascii="Times New Roman PS Std;serif" w:hAnsi="Times New Roman PS Std;serif"/>
                  <w:b w:val="false"/>
                  <w:i w:val="false"/>
                  <w:caps w:val="false"/>
                  <w:smallCaps w:val="false"/>
                  <w:sz w:val="20"/>
                </w:rPr>
                <w:t xml:space="preserve">ITEM 3 — APPROVAL OF AN AMENDMENT TO THE 2022 OMNIBUS EQUITY INCENTIVE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10">
              <w:r>
                <w:rPr>
                  <w:rStyle w:val="InternetLink"/>
                  <w:rFonts w:ascii="Times New Roman PS Std;serif" w:hAnsi="Times New Roman PS Std;serif"/>
                  <w:b w:val="false"/>
                  <w:i w:val="false"/>
                  <w:caps w:val="false"/>
                  <w:smallCaps w:val="false"/>
                  <w:sz w:val="20"/>
                </w:rPr>
                <w:t xml:space="preserve">EXPENSES OF SOLICITATION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99511">
              <w:r>
                <w:rPr>
                  <w:rStyle w:val="InternetLink"/>
                  <w:rFonts w:ascii="Times New Roman PS Std;serif" w:hAnsi="Times New Roman PS Std;serif"/>
                  <w:b w:val="false"/>
                  <w:i w:val="false"/>
                  <w:caps w:val="false"/>
                  <w:smallCaps w:val="false"/>
                  <w:sz w:val="20"/>
                </w:rPr>
                <w:t xml:space="preserve">CERTAIN RELATIONSHIPS AND RELATED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12">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99513">
              <w:r>
                <w:rPr>
                  <w:rStyle w:val="InternetLink"/>
                  <w:rFonts w:ascii="Times New Roman PS Std;serif" w:hAnsi="Times New Roman PS Std;serif"/>
                  <w:b w:val="false"/>
                  <w:i w:val="false"/>
                  <w:caps w:val="false"/>
                  <w:smallCaps w:val="false"/>
                  <w:sz w:val="20"/>
                </w:rPr>
                <w:t xml:space="preserve">ADVANCE NOTICE PROCEDURES AND STOCKHOLDER PROPOSALS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8941" w:type="dxa"/>
            <w:tcBorders/>
            <w:shd w:fill="CCEEFF" w:val="clear"/>
            <w:vAlign w:val="bottom"/>
          </w:tcPr>
          <w:p>
            <w:pPr>
              <w:pStyle w:val="TableContents"/>
              <w:keepNext w:val="false"/>
              <w:widowControl/>
              <w:pBdr/>
              <w:bidi w:val="0"/>
              <w:spacing w:before="0" w:after="283"/>
              <w:ind w:left="200" w:right="0" w:hanging="200"/>
              <w:jc w:val="left"/>
              <w:rPr/>
            </w:pPr>
            <w:hyperlink w:anchor="T99514">
              <w:r>
                <w:rPr>
                  <w:rStyle w:val="InternetLink"/>
                  <w:rFonts w:ascii="Times New Roman PS Std;serif" w:hAnsi="Times New Roman PS Std;serif"/>
                  <w:b w:val="false"/>
                  <w:i w:val="false"/>
                  <w:caps w:val="false"/>
                  <w:smallCaps w:val="false"/>
                  <w:sz w:val="20"/>
                </w:rPr>
                <w:t xml:space="preserve">ADDITIONAL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8941" w:type="dxa"/>
            <w:tcBorders/>
            <w:vAlign w:val="bottom"/>
          </w:tcPr>
          <w:p>
            <w:pPr>
              <w:pStyle w:val="TableContents"/>
              <w:keepNext w:val="false"/>
              <w:widowControl/>
              <w:pBdr/>
              <w:bidi w:val="0"/>
              <w:spacing w:before="0" w:after="283"/>
              <w:ind w:left="200" w:right="0" w:hanging="200"/>
              <w:jc w:val="left"/>
              <w:rPr/>
            </w:pPr>
            <w:hyperlink w:anchor="T515">
              <w:r>
                <w:rPr>
                  <w:rStyle w:val="InternetLink"/>
                  <w:rFonts w:ascii="Times New Roman PS Std;serif" w:hAnsi="Times New Roman PS Std;serif"/>
                  <w:b w:val="false"/>
                  <w:i w:val="false"/>
                  <w:caps w:val="false"/>
                  <w:smallCaps w:val="false"/>
                  <w:sz w:val="20"/>
                </w:rPr>
                <w:t xml:space="preserve">APPENDIX A: RYTHM, INC. 2022 OMNIBUS EQUITY INCENTIVE PLAN (AS AMENDED)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500"/>
      <w:bookmarkEnd w:id="1"/>
      <w:r>
        <w:rPr>
          <w:rFonts w:ascii="Times New Roman PS Std;serif" w:hAnsi="Times New Roman PS Std;serif"/>
          <w:b/>
          <w:i w:val="false"/>
          <w:caps w:val="false"/>
          <w:smallCaps w:val="false"/>
          <w:sz w:val="20"/>
        </w:rPr>
        <w:t xml:space="preserve">GENERAL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contains information related to the Virtual Annual Meeting of Stockholders of RYTHM, Inc. (the “Company” or “RYTHM”) to be held on Tuesday, June 16, 2026, beginning at 3:00 p.m. Central Time, and any postponements or adjournments thereof (the “Annual Meeting”). This proxy statement was prepared at the direction of our Board of Directors to solicit your proxy for use at the Annual Meeting. On or about April 29, 2026, we are mailing to our stockholders our proxy statement, Annual Report and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admitted to the Annual Meeting at </w:t>
      </w:r>
      <w:r>
        <w:rPr>
          <w:rFonts w:ascii="Times New Roman PS Std;serif" w:hAnsi="Times New Roman PS Std;serif"/>
          <w:b w:val="false"/>
          <w:i/>
          <w:caps w:val="false"/>
          <w:smallCaps w:val="false"/>
          <w:sz w:val="20"/>
        </w:rPr>
        <w:t>www.virtualshareholdermeeting.com/RYM2026</w:t>
      </w:r>
      <w:r>
        <w:rPr>
          <w:rFonts w:ascii="Times New Roman PS Std;serif" w:hAnsi="Times New Roman PS Std;serif"/>
          <w:b w:val="false"/>
          <w:i w:val="false"/>
          <w:caps w:val="false"/>
          <w:smallCaps w:val="false"/>
          <w:sz w:val="20"/>
        </w:rPr>
        <w:t> you must enter the control number found on your proxy card, voting instruction form or notice you previously received. You may vote during the Annual Meeting by following the instructions available on the meeting website during the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is soliciting my proxy?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the Board of Directors of RYTHM, Inc., are sending you this proxy statement in connection with our solicitation of proxies for use at the Annual Meeting. Certain directors, officers and employees of RYTHM may (without compensation) solicit proxies on our behalf by mail, phone, fax, Internet or at the Annual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is paying for this solicitation?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RYTHM will pay for any solicitation of proxies. RYTHM also will reimburse banks, brokers, custodians, nominees and fiduciaries for their reasonable charges and expenses to forward our proxy materials to the beneficial owners of RYTHM Common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am I voting 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There are three items scheduled to be voted on at the Annual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Item 1 — The election of Benjamin Kovler, Max Holtzman, Timothy Mahoney, Peter Shapiro, Sanjay Tolia, Armon Vakili and Krishnan Varier to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Item 2 — The ratification of the appointment of GuzmanGray as our independent registered public accounting firm for the fiscal year ending December 31, 2026 (the “Auditor Appointment”);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Item 3 — The approval of an amendment to the RYTHM, Inc. 2022 Omnibus Equity Incentive Plan to increase the number of shares of Common Stock available for issuance thereunder by 115,000 (the “Equity Plan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Only those who owned Common Stock of record at the close of business on April 20, 2026, the record date for the Annual Meeting (the “Record Date”), can vote. If you owned Common Stock on the Record Date, you have one vote per share for each Item up for vote at the Annual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your shares either at the Annual Meeting or by proxy. To vote by proxy, you should </w:t>
      </w:r>
      <w:r>
        <w:rPr>
          <w:rFonts w:ascii="Times New Roman PS Std;serif" w:hAnsi="Times New Roman PS Std;serif"/>
          <w:b/>
          <w:i w:val="false"/>
          <w:caps w:val="false"/>
          <w:smallCaps w:val="false"/>
          <w:sz w:val="20"/>
        </w:rPr>
        <w:t>mark, date, sign </w:t>
      </w:r>
      <w:r>
        <w:rPr>
          <w:rFonts w:ascii="Times New Roman PS Std;serif" w:hAnsi="Times New Roman PS Std;serif"/>
          <w:b w:val="false"/>
          <w:i w:val="false"/>
          <w:caps w:val="false"/>
          <w:smallCaps w:val="false"/>
          <w:sz w:val="20"/>
        </w:rPr>
        <w:t>and </w:t>
      </w:r>
      <w:r>
        <w:rPr>
          <w:rFonts w:ascii="Times New Roman PS Std;serif" w:hAnsi="Times New Roman PS Std;serif"/>
          <w:b/>
          <w:i w:val="false"/>
          <w:caps w:val="false"/>
          <w:smallCaps w:val="false"/>
          <w:sz w:val="20"/>
        </w:rPr>
        <w:t>mail</w:t>
      </w:r>
      <w:r>
        <w:rPr>
          <w:rFonts w:ascii="Times New Roman PS Std;serif" w:hAnsi="Times New Roman PS Std;serif"/>
          <w:b w:val="false"/>
          <w:i w:val="false"/>
          <w:caps w:val="false"/>
          <w:smallCaps w:val="false"/>
          <w:sz w:val="20"/>
        </w:rPr>
        <w:t> the proxy card provided with this proxy statement or vote by telephone or through the Internet.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will be able to participate in the Annual Meeting online and submit your questions during the meeting by visiting </w:t>
      </w:r>
      <w:r>
        <w:rPr>
          <w:rFonts w:ascii="Times New Roman PS Std;serif" w:hAnsi="Times New Roman PS Std;serif"/>
          <w:b w:val="false"/>
          <w:i/>
          <w:caps w:val="false"/>
          <w:smallCaps w:val="false"/>
          <w:sz w:val="20"/>
        </w:rPr>
        <w:t>www.virtualshareholdermeeting.com/RYM2026</w:t>
      </w:r>
      <w:r>
        <w:rPr>
          <w:rFonts w:ascii="Times New Roman PS Std;serif" w:hAnsi="Times New Roman PS Std;serif"/>
          <w:b w:val="false"/>
          <w:i w:val="false"/>
          <w:caps w:val="false"/>
          <w:smallCaps w:val="false"/>
          <w:sz w:val="20"/>
        </w:rPr>
        <w:t xml:space="preserve">.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t>
      </w:r>
      <w:r>
        <w:rPr>
          <w:rFonts w:ascii="Times New Roman PS Std;serif" w:hAnsi="Times New Roman PS Std;serif"/>
          <w:b w:val="false"/>
          <w:i/>
          <w:caps w:val="false"/>
          <w:smallCaps w:val="false"/>
          <w:sz w:val="20"/>
        </w:rPr>
        <w:t>www.virtualshareholdermeeting.com/RYM2026</w:t>
      </w:r>
      <w:r>
        <w:rPr>
          <w:rFonts w:ascii="Times New Roman PS Std;serif" w:hAnsi="Times New Roman PS Std;serif"/>
          <w:b w:val="false"/>
          <w:i w:val="false"/>
          <w:caps w:val="false"/>
          <w:smallCaps w:val="false"/>
          <w:sz w:val="20"/>
        </w:rPr>
        <w:t>, type your question into the “Ask a Question” field, and click “Submit.” Questions pertinent to meeting matters will be read and answered during the meeting, subject to time constraints.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encounter any difficulties accessing the virtual meeting during the check-in or meeting time, please call the technical support number that will be posted on the Virtual Shareholder Meeting log in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vote by telephone or electronically?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10:59 p.m., Central Daylight Time, on June 15, 2026.</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are votes counted?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for each of the three proposals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WITHHOLD”</w:t>
      </w:r>
      <w:r>
        <w:rPr>
          <w:rFonts w:ascii="Times New Roman PS Std;serif" w:hAnsi="Times New Roman PS Std;serif"/>
          <w:b w:val="false"/>
          <w:i w:val="false"/>
          <w:caps w:val="false"/>
          <w:smallCaps w:val="false"/>
          <w:sz w:val="20"/>
        </w:rPr>
        <w:t> with respect to each nominee to our Board of Directors specified in Item 1 of this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 “AGAINST”</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with respect to the ratification and approval of the Auditor Appointment described in Item 2 of this proxy statement;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 “AGAINST”</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with respect to the Equity Plan Proposal described in Item 3 of this proxy statement.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return your proxy but do not mark your voting preference, the individuals named as proxies will vote your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election of each of the nominees for director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Items 2 and 3. Giving a proxy will not affect your right to vote your shares at the Annual Meeting. If you attend the Annual Meeting, you may revoke your proxy and vote at the Annual Meeting if you wish.</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withhold my vote for an individual director?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Withheld votes are not included in the vote tally for the election of directors. If you wish your shares to be voted for some nominees, and not voted for others, then indicate the name(s) of the nominee(s) for whom you are withholding authority to vote by writing the name(s) of such nominee(s) in the space provided in the proxy. If you wish to withhold authority to vote for all nominees, check the box marked “</w:t>
      </w:r>
      <w:r>
        <w:rPr>
          <w:rFonts w:ascii="Times New Roman PS Std;serif" w:hAnsi="Times New Roman PS Std;serif"/>
          <w:b/>
          <w:i w:val="false"/>
          <w:caps w:val="false"/>
          <w:smallCaps w:val="false"/>
          <w:sz w:val="20"/>
        </w:rPr>
        <w:t>WITHHOLD ALL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     What are broker non-votes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and abstentions?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On which proposals do brokers have discretion to vote without instructions from beneficial owners?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election of directors, or Item 3, the Equity Plan Proposal. Brokers will be able to vote on the approval of the Item 2, the Auditor Appointment, in the absence of your instructions as that matter is considered a “discretionary” item.</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     How do broker non-votes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and abstentions affect the existence of a quorum and the vote required for the proposals at the Annual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Broker non-votes and abstentions on any matter are included in determining the number of shares represented for the purpose of determining whether a quorum is present at a stockholders’ meeting. Because directors will be elected by a plurality of the votes cast (i.e., the seven director nominees receiving the greatest number of votes will be elected) at the Annual Meeting, an abstention would have no effect on the vote concerning the election of directors and thus is not being offered as a voting option in the election of directors under Item 1. Under Nevada law, broker non-votes are not considered to be entitled to vote on the matter and, thus, will not have any impact on the outcome of Item 3. Although abstentions are considered present and entitled to vote on a matter,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are not considered to be votes cast under Nevada law, and thus will have no impact on the outcome of Item 3, which requires the favorable vote of a majority of the votes cast at the Annual Meeting by stockholders entitled to vote on the matter.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change my vote after I return my proxy card?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Even after you have submitted your proxy, you may change your vote at any time before the proxy is exercised by filing with the Corporate Secretary either written notice of your revocation or a duly executed proxy bearing a later date. Attendance at the Annual Meeting will not by itself revoke a previously granted proxy; however, delivery of a later dated proxy before the polls close at the Annual Meeting will revoke a proxy previously granted.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Board’s recommendations?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Our Board of Directors recommends that you vote your shares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the seven nominees to our Board of Directors as described in Item 1 of this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and approval of the Auditor Appointment as described in Item 2 of this proxy statement;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Equity Plan Proposal described in Item 3 of this proxy statement.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of April 20, 2026, we had 2,149,128 shares of Common Stock outstanding and 52 holders of record. Each share of our Common Stock is entitled to one vote per share. The holders of one-third of the total outstanding shares entitled to vote, present at the Annual Meeting or represented by proxy, will constitute a quorum for the transaction of business at the Annual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a quorum is not present?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quorum is not present at the scheduled time of the Annual Meeting, then the stockholders who are represented may adjourn the Annual Meeting until a quorum is present. The time and place of an adjourned meeting, if necessary, would be announced at the time the adjournment is taken and no other notice would be given. Voting cannot take place unless a quorum is present.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voting requirement to approve each of the items?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voting requirement to approve each of the proposals is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Directors are elected by a plurality of the votes cast. This means that the seven nominees will be elected if they receive more affirmative votes than any other nominees.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affirmative vote of a majority of votes cast on the proposal is required to ratify the Auditor Appointment in Item 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affirmative vote of a majority of votes cast on the proposal is required to approve the Equity Plan Proposal in Item 3.</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vote on other matters?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Our Third Amended and Restated Bylaws (which we refer to as our “Amended and Restated Bylaws”) limit the matters presented at an Annual Meeting to those in a notice of Annual Meeting and those otherwise properly presented at an Annual Meeting. Since none of our stockholders provided notice for any other business matters during the applicable period set forth in our Amended and Restated Bylaws, no matters other than those included in the Notice of Annual Meeting may properly come before the Annual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count the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Representatives of Broadridge Financial Solutions, Inc., our transfer agent, will tabulate the votes.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501"/>
      <w:bookmarkEnd w:id="2"/>
      <w:r>
        <w:rPr>
          <w:rFonts w:ascii="Times New Roman PS Std;serif" w:hAnsi="Times New Roman PS Std;serif"/>
          <w:b/>
          <w:i w:val="false"/>
          <w:caps w:val="false"/>
          <w:smallCaps w:val="false"/>
          <w:sz w:val="20"/>
        </w:rPr>
        <w:t xml:space="preserve">ITEM 1 — ELECTION OF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(which is sometimes referred to in this proxy statement as our “Board”) currently consists of Benjamin Kovler, Max Holtzman, Armon Vakili, Peter Shapiro, Sanjay Tolia, Timothy Mahoney and Krishnan Varier. You and the other stockholders are requested to vote for the nominees set forth below to serve as directors until the 2027 Annual Meeting of Stockholders or until their successors are duly elected and qualified. The individuals named as proxies will vote the enclosed proxy for the election of all nominees listed below, unless you direct them to withhold your votes. If any nominee becomes unable to serve as a director before the Annual Meeting (or decides not to serve), the individuals named as proxies may vote for a substitute or we may reduce the number of members of the Board. There are no family relationships among any of our executive officers or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present, individual nominees will be elected by a plurality of the votes of shares present at the Annual Meeting or represented by proxy at the Annual Meeting. This means that the seven nominees will be elected if they receive more affirmative votes than any other nominees.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of Directors recommends that you vote “FOR” each of the following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are the names and ages of the director nominees, the year they became directors, their principal occupations or employment for at least the past five years and certain of their other directorships.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Nominees for Election</w:t>
      </w:r>
    </w:p>
    <w:tbl>
      <w:tblPr>
        <w:tblW w:w="10205" w:type="dxa"/>
        <w:jc w:val="left"/>
        <w:tblInd w:w="0" w:type="dxa"/>
        <w:tblLayout w:type="fixed"/>
        <w:tblCellMar>
          <w:top w:w="0" w:type="dxa"/>
          <w:left w:w="0" w:type="dxa"/>
          <w:bottom w:w="0" w:type="dxa"/>
          <w:right w:w="0" w:type="dxa"/>
        </w:tblCellMar>
      </w:tblPr>
      <w:tblGrid>
        <w:gridCol w:w="885"/>
        <w:gridCol w:w="146"/>
        <w:gridCol w:w="556"/>
        <w:gridCol w:w="146"/>
        <w:gridCol w:w="8472"/>
      </w:tblGrid>
      <w:tr>
        <w:trPr/>
        <w:tc>
          <w:tcPr>
            <w:tcW w:w="8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4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Experience</w:t>
            </w:r>
          </w:p>
        </w:tc>
      </w:tr>
      <w:tr>
        <w:trPr/>
        <w:tc>
          <w:tcPr>
            <w:tcW w:w="88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tcPr>
          <w:p>
            <w:pPr>
              <w:pStyle w:val="TableContents"/>
              <w:bidi w:val="0"/>
              <w:spacing w:before="0" w:after="283"/>
              <w:jc w:val="left"/>
              <w:rPr/>
            </w:pPr>
            <w:r>
              <w:rPr/>
              <w:t> </w:t>
            </w:r>
          </w:p>
        </w:tc>
        <w:tc>
          <w:tcPr>
            <w:tcW w:w="847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Kovler has served as a member of our Board of Directors since November 5, 2024. Mr. Kovler founded Green Thumb Industries Inc. (“Green Thumb”) in 2014. He has been Chairman of Green Thumb since 2014 and Chief Executive Officer from 2014 through year-end 2017 and again since August 2018. Mr. Kovler is frequently featured as a cannabis industry thought leader in media outlets such as Bloomberg, Barron’s, Business Insider, CNBC and Forbes. He previously served on the boards of directors of Springbig, Inc., a cannabis marketing platform from January 2018 until December 2022, and The Cann + Botl Company, a privately held cannabis-infused beverage company, from December 2020 to December 2022. He is also co-founder of Invest For Kids, a not-for-profit organization that hosts an annual investment ideas conference to benefit underserved young people in Chicago. Founded in 2009, Invest For Kids has raised nearly $25 million, 100% of which has supported over 120 organizations dedicated to improving the lives of Chicago’s youth. Mr. Kovler earned a Bachelor of Arts in philosophy, politics and economics from Pomona College and a Master of Business Administration in accounting and finance from The University of Chicago. Mr. Kovler has served as a Director of our Company since November 2024. We believe that Mr. Kovler’s qualifications to sit on the Board include his experience in the cannabis and hemp industries and his extensive experience managing complex operating companies.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82"/>
        <w:gridCol w:w="146"/>
        <w:gridCol w:w="556"/>
        <w:gridCol w:w="146"/>
        <w:gridCol w:w="8475"/>
      </w:tblGrid>
      <w:tr>
        <w:trPr/>
        <w:tc>
          <w:tcPr>
            <w:tcW w:w="8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47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Experience</w:t>
            </w:r>
          </w:p>
        </w:tc>
      </w:tr>
      <w:tr>
        <w:trPr/>
        <w:tc>
          <w:tcPr>
            <w:tcW w:w="88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Holtzman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847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Holtzman has served as a member of our Board of Directors since July 14, 2022. Mr. Holtzman has served as Principal at Ocean 14 Capital, a private equity impact fund focused on the Blue Economy, since December 2021. Mr. Holtzman has also served as Investments Principal at Pontos Aqua, LLC, which provides strategic advisory services in the global seafood and aquaculture space, since June 2017. Mr. Holtzman is a founding officer of Stronger America through Seafood, which strives to increase the production of healthy, sustainable, and affordable seafood in the United States. Mr. Holtzman previously served as the Vice Chairman of Capitol Peak Asset Management, which focused on infrastructure projects and companies in Rural America. Prior to Capitol Peak, Mr. Holtzman was appointed by President Obama as the Senior Advisor to the United States Secretary of Agriculture. From 2009 to 2014, Mr. Holtzman advised the Secretary on the development of new public-private partnerships, aquaculture, trade, biotechnology, and international food security. He also served as Acting Deputy Under Secretary for Farm and Foreign Agriculture Services and as Acting Deputy Under Secretary of Marketing and Regulatory Programs. In these roles, Mr. Holtzman represented the United States in its negotiations with the Peoples Republic of China as a four-time Delegate on the Joint Committee on Commerce and Trade, and he was regularly involved with a multitude of international trade issues, trade missions, and trade negotiations. He also served as the United States Chairman of the North American Biotechnology Initiative, which includes the United States, Canada, and Mexico. Prior to this appointment, Mr. Holtzman, an attorney for over 25 years, provided strategic consulting to multi-national companies related to transportation infrastructure, project finance, public-private partnerships, health care, and government procurement. He also served as a City Attorney and Special Counsel to several municipalities. Mr. Holtzman has served as a Board Member of The Arcadia Center for Sustainable Food and Agriculture, the Founding Chairman of Adopt-A-Classroom, and he has sat on the Global Advisory Council of Secure System. Mr. Holtzman received his undergraduate degree in Agricultural Economics from the University of Florida’s Institute of Food and Agricultural Sciences and his law degree from the University of Miami. We believe that Mr. Holtzman’s qualifications to sit on the Board include his extensive experience in finance, government relations and international trade.</w:t>
            </w:r>
          </w:p>
        </w:tc>
      </w:tr>
      <w:tr>
        <w:trPr/>
        <w:tc>
          <w:tcPr>
            <w:tcW w:w="88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Armon Vakili</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tcPr>
          <w:p>
            <w:pPr>
              <w:pStyle w:val="TableContents"/>
              <w:bidi w:val="0"/>
              <w:spacing w:before="0" w:after="283"/>
              <w:jc w:val="left"/>
              <w:rPr/>
            </w:pPr>
            <w:r>
              <w:rPr/>
              <w:t> </w:t>
            </w:r>
          </w:p>
        </w:tc>
        <w:tc>
          <w:tcPr>
            <w:tcW w:w="847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Vakili has served as a member of our Board of Directors since November 5, 2024. Mr. Vakili has served as Vice President of Mergers, Acquisitions, and Partnerships at Green Thumb since 2017 and is involved in all external investments and strategic developments. Mr. Vakili has also served on various boards of directors for non-public companies within the cannabis industry, and presently is a board observer for Petalfast Inc., a cannabis marketing, merchandising and branding firm. Prior to joining Green Thumb, Mr. Vakili was part of the M&amp;A/advisory teams at Stericycle Inc. and KPMG US LLP. Mr. Vakili earned his Bachelor of Arts at Indiana University. We believe that Mr. Vakili’s qualifications to sit on the Board include his experience managing strategic transactions and partnerships in the cannabis and hemp industries.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86"/>
        <w:gridCol w:w="146"/>
        <w:gridCol w:w="556"/>
        <w:gridCol w:w="146"/>
        <w:gridCol w:w="8571"/>
      </w:tblGrid>
      <w:tr>
        <w:trPr/>
        <w:tc>
          <w:tcPr>
            <w:tcW w:w="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Experience</w:t>
            </w:r>
          </w:p>
        </w:tc>
      </w:tr>
      <w:tr>
        <w:trPr/>
        <w:tc>
          <w:tcPr>
            <w:tcW w:w="7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Shapiro</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tcPr>
          <w:p>
            <w:pPr>
              <w:pStyle w:val="TableContents"/>
              <w:bidi w:val="0"/>
              <w:spacing w:before="0" w:after="283"/>
              <w:jc w:val="left"/>
              <w:rPr/>
            </w:pPr>
            <w:r>
              <w:rPr/>
              <w:t> </w:t>
            </w:r>
          </w:p>
        </w:tc>
        <w:tc>
          <w:tcPr>
            <w:tcW w:w="85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Shapiro has served as a member of our Board of Directors since January 31, 2025. Mr. Shapiro is an independent music entrepreneur who has owned and operated celebrated venues Brooklyn Bowl, Brooklyn Bowl Las Vegas, Brooklyn Bowl Nashville, Brooklyn Bowl Philadelphia, The Capitol Theatre, Bearsville Theater and Wetlands Preserve. Mr. Shapiro partnered exclusively with the family of Jerry Garcia to open Garcia’s at The Capitol Theatre, to be followed by additional clubs in Chicago and New York City. In 2015, he produced </w:t>
            </w:r>
            <w:r>
              <w:rPr>
                <w:rFonts w:ascii="Times New Roman PS Std;serif" w:hAnsi="Times New Roman PS Std;serif"/>
                <w:b w:val="false"/>
                <w:i/>
                <w:caps w:val="false"/>
                <w:smallCaps w:val="false"/>
                <w:sz w:val="20"/>
              </w:rPr>
              <w:t>Fare Thee Well: Celebrating 50 Years of the Grateful Dead</w:t>
            </w:r>
            <w:r>
              <w:rPr>
                <w:rFonts w:ascii="Times New Roman PS Std;serif" w:hAnsi="Times New Roman PS Std;serif"/>
                <w:b w:val="false"/>
                <w:i w:val="false"/>
                <w:caps w:val="false"/>
                <w:smallCaps w:val="false"/>
                <w:sz w:val="20"/>
              </w:rPr>
              <w:t>, at Levi’s Stadium in Santa Clara, CA and Chicago’s Soldier Field. Shapiro founded Lockn’, a four-day music and camping festival held in Nelson County, Virginia as well as Jazz &amp; Colors, an experiential music event held in Central Park and the Metropolitan Museum of Art. He originated the Rock and Roll Playhouse, developing the family concert series into a weekly national concert series that takes place in over 25 markets across America. In 2024, Peter coproduced the sold out Soulshine Benefit at Madison Square Garden raising money for hurricane relief in North Carolina and Florida. His other endeavors include the IMAX concert films </w:t>
            </w:r>
            <w:r>
              <w:rPr>
                <w:rFonts w:ascii="Times New Roman PS Std;serif" w:hAnsi="Times New Roman PS Std;serif"/>
                <w:b w:val="false"/>
                <w:i/>
                <w:caps w:val="false"/>
                <w:smallCaps w:val="false"/>
                <w:sz w:val="20"/>
              </w:rPr>
              <w:t>U2 3D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caps w:val="false"/>
                <w:smallCaps w:val="false"/>
                <w:sz w:val="20"/>
              </w:rPr>
              <w:t>All Access</w:t>
            </w:r>
            <w:r>
              <w:rPr>
                <w:rFonts w:ascii="Times New Roman PS Std;serif" w:hAnsi="Times New Roman PS Std;serif"/>
                <w:b w:val="false"/>
                <w:i w:val="false"/>
                <w:caps w:val="false"/>
                <w:smallCaps w:val="false"/>
                <w:sz w:val="20"/>
              </w:rPr>
              <w:t>, the Jammys awards show, the Green Apple Earth Day Festival, and Easy Rider Live</w:t>
            </w:r>
            <w:r>
              <w:rPr>
                <w:rFonts w:ascii="Times New Roman PS Std;serif" w:hAnsi="Times New Roman PS Std;serif"/>
                <w:b w:val="false"/>
                <w:i/>
                <w:caps w:val="false"/>
                <w:smallCaps w:val="false"/>
                <w:sz w:val="20"/>
              </w:rPr>
              <w:t>. Billboard </w:t>
            </w:r>
            <w:r>
              <w:rPr>
                <w:rFonts w:ascii="Times New Roman PS Std;serif" w:hAnsi="Times New Roman PS Std;serif"/>
                <w:b w:val="false"/>
                <w:i w:val="false"/>
                <w:caps w:val="false"/>
                <w:smallCaps w:val="false"/>
                <w:sz w:val="20"/>
              </w:rPr>
              <w:t>has selected him multiple times for its Power 100 List of “Most Influential People in the Music Business.” Mr. Shapiro serves as publisher of </w:t>
            </w:r>
            <w:r>
              <w:rPr>
                <w:rFonts w:ascii="Times New Roman PS Std;serif" w:hAnsi="Times New Roman PS Std;serif"/>
                <w:b w:val="false"/>
                <w:i/>
                <w:caps w:val="false"/>
                <w:smallCaps w:val="false"/>
                <w:sz w:val="20"/>
              </w:rPr>
              <w:t>Relix </w:t>
            </w:r>
            <w:r>
              <w:rPr>
                <w:rFonts w:ascii="Times New Roman PS Std;serif" w:hAnsi="Times New Roman PS Std;serif"/>
                <w:b w:val="false"/>
                <w:i w:val="false"/>
                <w:caps w:val="false"/>
                <w:smallCaps w:val="false"/>
                <w:sz w:val="20"/>
              </w:rPr>
              <w:t>magazine and sits on the board of a number of civic and charitable organizations, including: New York Public Radio, City Parks Foundation and the Rock and Roll Hall of Fame Museum. Peter also is a member of the Rock and Roll Hall’s nominating committee. From 2019 to 2024, he served as Chairman of HeadCount, one of the leading youth voter engagement and participation organizations in America, and currently sits on its Board of Directors. He earned a bachelor of arts degree from Northwestern University. We believe that Mr. Shapiro’s qualifications to sit on the Board include his extensive background in starting and managing businesses and his experience with branding and entertainment.</w:t>
            </w:r>
          </w:p>
        </w:tc>
      </w:tr>
      <w:tr>
        <w:trPr/>
        <w:tc>
          <w:tcPr>
            <w:tcW w:w="78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Sanjay Tolia</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tcPr>
          <w:p>
            <w:pPr>
              <w:pStyle w:val="TableContents"/>
              <w:bidi w:val="0"/>
              <w:spacing w:before="0" w:after="283"/>
              <w:jc w:val="left"/>
              <w:rPr/>
            </w:pPr>
            <w:r>
              <w:rPr/>
              <w:t> </w:t>
            </w:r>
          </w:p>
        </w:tc>
        <w:tc>
          <w:tcPr>
            <w:tcW w:w="85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Tolia has served as a member of our Board of Directors since January 31, 2025. Mr. Tolia is an entrepreneur with an institutional finance background. He began his career at several prominent Chicago-based funds before founding Bengal Capital, a large equity derivatives hedge fund that focuses on health and wellness markets. Mr. Tolia has served as founder of Marine Layer Capital LLC since March 2023, which creates and trades structured notes and derivative products for wealth management clients. He also served as Senior Advisor to Leaf VIP from April 2020 through March 2023, as founder of Bengal Catalyst Fund LP from January 2018 through March 2023, and as founder and managing director of Bengal Capital LLC from March 2007 through December 2018. Mr. Tolia helped to create and manage several industry-leading brands and products in the nascent wellness space and has a deep track record of taking companies public, mergers and acquisitions, restructuring, and corporate strategy. He has served on the boards of directors of Sunday Goods &amp; The Pharm since November 2020 and Jetty Extracts, a leading consumer packaged goods company in the health and wellness sector that was acquired by Canopy Growth, from January 2018 through June 2024. He earned a bachelor’s degree in economics from The University of Michigan. We believe that Mr. Tolia’s qualifications to sit on the Board include his background in capital markets and mergers and acquisitions transactions and his experience in the cannabis industry.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37"/>
        <w:gridCol w:w="146"/>
        <w:gridCol w:w="556"/>
        <w:gridCol w:w="146"/>
        <w:gridCol w:w="8520"/>
      </w:tblGrid>
      <w:tr>
        <w:trPr/>
        <w:tc>
          <w:tcPr>
            <w:tcW w:w="8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52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Experience</w:t>
            </w:r>
          </w:p>
        </w:tc>
      </w:tr>
      <w:tr>
        <w:trPr/>
        <w:tc>
          <w:tcPr>
            <w:tcW w:w="8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Mahoney</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tcPr>
          <w:p>
            <w:pPr>
              <w:pStyle w:val="TableContents"/>
              <w:bidi w:val="0"/>
              <w:spacing w:before="0" w:after="283"/>
              <w:jc w:val="left"/>
              <w:rPr/>
            </w:pPr>
            <w:r>
              <w:rPr/>
              <w:t> </w:t>
            </w:r>
          </w:p>
        </w:tc>
        <w:tc>
          <w:tcPr>
            <w:tcW w:w="85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Mahoney is the owner of Caribou LLC, a strategic advisory firm he founded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Mr. Mahoney served as a U.S. Representative for Florida’s 16th congressional district from January 2007 to January 2009. From 1998 to 2007, Mr. Mahoney was a Co-Founder of vFinance, Inc., which subsequently acquired National Holdings Corporation. National Holdings Corporation has grown to become one of America’s leading middle-market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Director of our Company since December 2020. We believe that Mr. Mahoney’s qualifications to sit on the Board include his background in the strategic advisory and consulting fields, his knowledge and experience with the legislative process of Congress and his diverse experience and knowledge in corporate governance.</w:t>
            </w:r>
          </w:p>
        </w:tc>
      </w:tr>
      <w:tr>
        <w:trPr/>
        <w:tc>
          <w:tcPr>
            <w:tcW w:w="8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Krishnan Varier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tcPr>
          <w:p>
            <w:pPr>
              <w:pStyle w:val="TableContents"/>
              <w:bidi w:val="0"/>
              <w:spacing w:before="0" w:after="283"/>
              <w:jc w:val="left"/>
              <w:rPr/>
            </w:pPr>
            <w:r>
              <w:rPr/>
              <w:t> </w:t>
            </w:r>
          </w:p>
        </w:tc>
        <w:tc>
          <w:tcPr>
            <w:tcW w:w="852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Varier has served as a member of our Board of Directors since June 2020 and currently chairs the Audit Committee. Mr. Varier is a Managing Partner and Portfolio Manager at Arcadian Capital Management, LLC, a Los Angeles-based venture capital firm, where he also serves as its Chief Investment Officer. Since joining Arcadian in 2018, he has played a key role in raising capital for its two venture funds and has led investments in more than 40 companies. He also oversees the firm’s portfolio management activities. The firm has been a leading early-stage investor to the cannabis and hemp industries, primarily focused on ancillary businesses. Mr. Varier has over 20 years of experience in financial services across investment banking, venture capital, and strategic advisory, and he has been involved in over $6 billion in completed capital markets and M&amp;A transactions. From 2016 to 2018, he founded Varier Venture Consulting LLC, advising early-stage startups on growth and capital-raising strategies. Previously, he was an investment banker at Cowen &amp; Company (2014–2016), where he advised clients in the biotechnology sector. From 2013 to 2014, he served as a Senior Investment Analyst at Health Care REIT (now Welltower REIT), a leading healthcare real estate investment trust. Earlier in his career, Mr. Varier worked in the investment banking groups at BofA Merrill Lynch (2011–2013), where he focused on healthcare, and at Morgan Keegan (2010), where he supported transactions across multiple sectors. He earned a B.A. in Economics with a focus in Business Administration from the University of Texas at Austin and an MBA in Finance and Investment Management from the University of North Carolina at Chapel Hill’s Kenan-Flagler Business School. We believe that Mr. Varier’s qualifications to sit on the Board include his extensive capital markets experience, knowledge of the cannabis industry, as well as his experience working with cannabis companies as an investor, mentor, advisor and consultant.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502"/>
      <w:bookmarkEnd w:id="3"/>
      <w:r>
        <w:rPr>
          <w:rFonts w:ascii="Times New Roman PS Std;serif" w:hAnsi="Times New Roman PS Std;serif"/>
          <w:b/>
          <w:i w:val="false"/>
          <w:caps w:val="false"/>
          <w:smallCaps w:val="false"/>
          <w:sz w:val="20"/>
        </w:rPr>
        <w:t xml:space="preserve">CORPORATE GOVERNANCE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and Board Committee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currently consists of seven directors. The Board has determined that Max Holtzman, Timothy Mahoney, Peter Shapiro, Sanjay Tolia and Krishnan Varier are all “Independent” directors under the Nasdaq listing standards. Richard Drexler resigned as a member of the Board on January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currently has three standing committees consisting of: the Nominating and Corporate Governance Committee, the Compensation Committee, and the Audit Committee. No member of the Audit, Compensation or Nominating and Corporate Governance Committee is an employee of the Company or its subsidiaries, and all are currently independent as defined by the Nasdaq listing standards.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PS Std;serif" w:hAnsi="Times New Roman PS Std;serif"/>
          <w:b w:val="false"/>
          <w:i/>
          <w:caps w:val="false"/>
          <w:smallCaps w:val="false"/>
          <w:sz w:val="20"/>
        </w:rPr>
        <w:t xml:space="preserve">https://ir.rythminc.com. </w:t>
      </w:r>
      <w:r>
        <w:rPr>
          <w:rFonts w:ascii="Times New Roman PS Std;serif" w:hAnsi="Times New Roman PS Std;serif"/>
          <w:b w:val="false"/>
          <w:i w:val="false"/>
          <w:caps w:val="false"/>
          <w:smallCaps w:val="false"/>
          <w:sz w:val="20"/>
        </w:rPr>
        <w:t>Please note that the information contained on the Company website is not incorporated by reference in, or considered to be a part of,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members of the standing committees are identified below:</w:t>
      </w:r>
    </w:p>
    <w:tbl>
      <w:tblPr>
        <w:tblW w:w="6652" w:type="dxa"/>
        <w:jc w:val="left"/>
        <w:tblInd w:w="0" w:type="dxa"/>
        <w:tblLayout w:type="fixed"/>
        <w:tblCellMar>
          <w:top w:w="0" w:type="dxa"/>
          <w:left w:w="0" w:type="dxa"/>
          <w:bottom w:w="0" w:type="dxa"/>
          <w:right w:w="0" w:type="dxa"/>
        </w:tblCellMar>
      </w:tblPr>
      <w:tblGrid>
        <w:gridCol w:w="1876"/>
        <w:gridCol w:w="146"/>
        <w:gridCol w:w="1696"/>
        <w:gridCol w:w="146"/>
        <w:gridCol w:w="1636"/>
        <w:gridCol w:w="146"/>
        <w:gridCol w:w="1006"/>
      </w:tblGrid>
      <w:tr>
        <w:trPr/>
        <w:tc>
          <w:tcPr>
            <w:tcW w:w="1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Nominating </w:t>
              <w:br/>
              <w:t xml:space="preserve">and Corporate </w:t>
              <w:br/>
              <w:t>Governance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Compensation</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w:t>
            </w:r>
          </w:p>
        </w:tc>
      </w:tr>
      <w:tr>
        <w:trPr/>
        <w:tc>
          <w:tcPr>
            <w:tcW w:w="18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Holtzman</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(Chair)</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r>
      <w:tr>
        <w:trPr/>
        <w:tc>
          <w:tcPr>
            <w:tcW w:w="18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Mahoney</w:t>
            </w:r>
          </w:p>
        </w:tc>
        <w:tc>
          <w:tcPr>
            <w:tcW w:w="146" w:type="dxa"/>
            <w:tcBorders/>
          </w:tcPr>
          <w:p>
            <w:pPr>
              <w:pStyle w:val="TableContents"/>
              <w:bidi w:val="0"/>
              <w:spacing w:before="0" w:after="283"/>
              <w:jc w:val="left"/>
              <w:rPr/>
            </w:pPr>
            <w:r>
              <w:rPr/>
              <w:t> </w:t>
            </w:r>
          </w:p>
        </w:tc>
        <w:tc>
          <w:tcPr>
            <w:tcW w:w="16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tcPr>
          <w:p>
            <w:pPr>
              <w:pStyle w:val="TableContents"/>
              <w:bidi w:val="0"/>
              <w:spacing w:before="0" w:after="283"/>
              <w:jc w:val="left"/>
              <w:rPr/>
            </w:pPr>
            <w:r>
              <w:rPr/>
              <w:t> </w:t>
            </w:r>
          </w:p>
        </w:tc>
        <w:tc>
          <w:tcPr>
            <w:tcW w:w="163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(Chair)</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r>
      <w:tr>
        <w:trPr/>
        <w:tc>
          <w:tcPr>
            <w:tcW w:w="18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Shapiro</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r>
      <w:tr>
        <w:trPr/>
        <w:tc>
          <w:tcPr>
            <w:tcW w:w="18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Sanjay Tolia</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(Chair)</w:t>
            </w:r>
          </w:p>
        </w:tc>
      </w:tr>
      <w:tr>
        <w:trPr/>
        <w:tc>
          <w:tcPr>
            <w:tcW w:w="18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Krishnan Varier</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Nominating and Corporate Governance Committee.    </w:t>
      </w:r>
      <w:r>
        <w:rPr>
          <w:rFonts w:ascii="Times New Roman PS Std;serif" w:hAnsi="Times New Roman PS Std;serif"/>
          <w:b w:val="false"/>
          <w:i w:val="false"/>
          <w:caps w:val="false"/>
          <w:smallCaps w:val="false"/>
          <w:sz w:val="20"/>
        </w:rPr>
        <w:t>The current members of the Nominating and Corporate Governance Committee are Mr. Holtzman, who chairs the committee, Mr. Mahoney, Mr. Shapiro and Mr. Varier. Mr. Shapiro joined the Compensation Committee on March 19, 2025. Each of these directors is independent as defined under applicable Nasdaq listing requirements. This Committee’s responsibilities include the selection of potential candidates for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Compensation Committee.    </w:t>
      </w:r>
      <w:r>
        <w:rPr>
          <w:rFonts w:ascii="Times New Roman PS Std;serif" w:hAnsi="Times New Roman PS Std;serif"/>
          <w:b w:val="false"/>
          <w:i w:val="false"/>
          <w:caps w:val="false"/>
          <w:smallCaps w:val="false"/>
          <w:sz w:val="20"/>
        </w:rPr>
        <w:t>The current members of the Compensation Committee are Mr. Mahoney, who chairs the committee, and Mr. Holtzman. Both of these directors are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Audit Committee.    </w:t>
      </w:r>
      <w:r>
        <w:rPr>
          <w:rFonts w:ascii="Times New Roman PS Std;serif" w:hAnsi="Times New Roman PS Std;serif"/>
          <w:b w:val="false"/>
          <w:i w:val="false"/>
          <w:caps w:val="false"/>
          <w:smallCaps w:val="false"/>
          <w:sz w:val="20"/>
        </w:rPr>
        <w:t xml:space="preserve">The current members of the Audit Committee are Mr. Tolia, who chairs the committee, Mr. Holtzman, Mr. Varier and Mr. Mahoney. Mr. Tolia joined the Audit Committee on March 19, 2025, and Mr. Varier served as the chair of the Audit Committee until March 18, 2026, when Mr. Tolia was appointed as chair. The Board has determined that all members of the Audit Committee satisfy the financial literacy requirements of the Nasdaq listing standards and are independent as defined under the Nasdaq listing requirements and applicable Securities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Commission (“SEC”) rules. In addition, the Board has determined that each of Mr. Tolia and Mr. Varier qualifies as an “Audit Committee Financial Expert” as defined under SEC rules. The Audit Committee’s primary responsibility is to ensure the accuracy and effectiveness of the audits of our Company’s financial statements by our independent registered public accountants. Its duties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compensating, retaining, evaluating, terminating, and overseeing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with our independent registered public accounting firm the independence of its members from our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our independent registered public accounting firm the scope and results of their audit;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all audit and permissible non-audit services to be performed by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financial reporting process and discussing with management and our independent registered public accounting firm the interim and annual financial statements that we file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monitoring our accounting principles, accounting policies, financial and accounting controls, and compliance with legal and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implementing a risk management framework, including operational, strategic and external risks and compliance and compliance and cybersecurity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coordinating the oversight by our board of directors of our code of business conduct and our disclosure controls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confidential and/or anonymous submission of concerns regarding accounting, internal controls or auditing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Committee’s procedures for the pre-approval of audit and permitted non-audit services are described in “Item 2: Ratification of the Auditor Appointment.” For more information on the Audit Committee, refer to the “Report of the Audit Committee” included elsewhere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Special Committee.    </w:t>
      </w:r>
      <w:r>
        <w:rPr>
          <w:rFonts w:ascii="Times New Roman PS Std;serif" w:hAnsi="Times New Roman PS Std;serif"/>
          <w:b w:val="false"/>
          <w:i w:val="false"/>
          <w:caps w:val="false"/>
          <w:smallCaps w:val="false"/>
          <w:sz w:val="20"/>
        </w:rPr>
        <w:t>In addition to the three standing committees of the Board described above, on April 17, 2025, the Board created a special committee (the “Special Committee”), consisting solely of disinterested directors, with the primary responsibility for the review and examination of potential transactions between the Company and Green Thumb involving the acquisition, licensing, transfer, assignment, or other transaction involving intellectual property and/or other branding assets then owned by Green Thumb. The members of the Special Committee are Mr. Shapiro, who chairs the committee, Mr. Tolia and Mr. Holtzman.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Meetings of the Board of Directors and Attendance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our Board held 8 meetings, our Compensation Committee held 5 meetings, our Audit Committee held 7 meetings, our Nominating and Corporate Governance Committee held 2 meetings, and our Special Committee held 6 meetings. Mr. Holtzman attended fewer than 75% of the aggregate Board meetings and Board Committee meetings on which he served.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Messrs. Mahoney and Holtzman each served as members of the Compensation Committee. During 2025, no member of the Compensation Committee, was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Nomination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conflicts that might impede the proper performance of the responsibilities of a director; independence under SEC and Nasdaq listing standards; service on other boards of directors; the availability of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RYTHM, Inc., 2220 Hicks Road, Suite 210, Rolling Meadows, Illinois 60008, Attn: Corporate Secretary.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 Messrs. Kovler and Vakili were recommended to the Nominating and Corporate Governance Committee by a securityholder. Messrs. Shapiro and Tolia were recommended to the Nominating and Corporate Governance Committee by our Interim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PS Std;serif" w:hAnsi="Times New Roman PS Std;serif"/>
          <w:b w:val="false"/>
          <w:i/>
          <w:caps w:val="false"/>
          <w:smallCaps w:val="false"/>
          <w:sz w:val="20"/>
        </w:rPr>
        <w:t>https://ir.rythminc.com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Leadership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Combining Chairman and Chief Executive Officer Roles.    </w:t>
      </w:r>
      <w:r>
        <w:rPr>
          <w:rFonts w:ascii="Times New Roman PS Std;serif" w:hAnsi="Times New Roman PS Std;serif"/>
          <w:b w:val="false"/>
          <w:i w:val="false"/>
          <w:caps w:val="false"/>
          <w:smallCaps w:val="false"/>
          <w:sz w:val="20"/>
        </w:rPr>
        <w:t>Our Board of Directors is committed to the principle of independence from management and to the highest standards of corporate governance. All of our directors other than Messrs. Kovler and Vakili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has no bearing on the ethical integrity of the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Oversight of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Committees.    </w:t>
      </w:r>
      <w:r>
        <w:rPr>
          <w:rFonts w:ascii="Times New Roman PS Std;serif" w:hAnsi="Times New Roman PS Std;serif"/>
          <w:b w:val="false"/>
          <w:i w:val="false"/>
          <w:caps w:val="false"/>
          <w:smallCaps w:val="false"/>
          <w:sz w:val="20"/>
        </w:rPr>
        <w:t>The Audit Committee maintains initial oversight over risks related to the integrity of the Company’s financial statements, internal control over financial reporting and disclosure controls, cybersecurity and compliance matters,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Full Board.    </w:t>
      </w:r>
      <w:r>
        <w:rPr>
          <w:rFonts w:ascii="Times New Roman PS Std;serif" w:hAnsi="Times New Roman PS Std;serif"/>
          <w:b w:val="false"/>
          <w:i w:val="false"/>
          <w:caps w:val="false"/>
          <w:smallCaps w:val="false"/>
          <w:sz w:val="20"/>
        </w:rPr>
        <w:t>At its regularly scheduled meetings, the Board generally receives several reports which 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Outside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Annual Cash Compensation.    </w:t>
      </w:r>
      <w:r>
        <w:rPr>
          <w:rFonts w:ascii="Times New Roman PS Std;serif" w:hAnsi="Times New Roman PS Std;serif"/>
          <w:b w:val="false"/>
          <w:i w:val="false"/>
          <w:caps w:val="false"/>
          <w:smallCaps w:val="false"/>
          <w:sz w:val="20"/>
        </w:rPr>
        <w:t>Each of the Company’s non-employee directors receives an annual cash retainer of $24,000, payable in four quarterly installments. In addition, the following Committee retainer amounts are payable to Committee members.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Chair receives an annual retainer of $5,000 per year, while Audit Committee members are entitled to receive an annual retainer of $1,000. The annual retainers are paid in four quarterly installments and are in addition to the annual cash retainer for non-employee directors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Chair receives an annual retainer of $5,000 per year, while Compensation Committee members are entitled to receive an annual retainer of $1,000. The annual retainers are paid in four quarterly installments and are in addition to the annual cash retainer for non-employee directors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Chair receives an annual retainer of $5,000 per year, while Nominating and Corporate Governance Committee members are entitled to receive an annual retainer of $1,000. The annual retainers are paid in four quarterly installments and are in addition to the annual cash retainer for non-employee directors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and Share-Based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Awards.    </w:t>
      </w:r>
      <w:r>
        <w:rPr>
          <w:rFonts w:ascii="Times New Roman PS Std;serif" w:hAnsi="Times New Roman PS Std;serif"/>
          <w:b w:val="false"/>
          <w:i w:val="false"/>
          <w:caps w:val="false"/>
          <w:smallCaps w:val="false"/>
          <w:sz w:val="20"/>
        </w:rPr>
        <w:t>Following initial election to the Company’s Board of Directors, non-employee directors are eligible to receive restricted stock units as determined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and Compensation Committee believe that equity-based awards are essential to our continued success. Equity-based awards are necessary to attract, retain and motivate highly qualified directors to serve RYTHM and to improve RYTHM’s business results and earnings by providing these individuals an opportunity to acquire or increase a direct proprietary interest in RYTHM’s operations and future success while further aligning recipient’s interests with those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Non-Equity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Incentive Plan Compensation.    </w:t>
      </w:r>
      <w:r>
        <w:rPr>
          <w:rFonts w:ascii="Times New Roman PS Std;serif" w:hAnsi="Times New Roman PS Std;serif"/>
          <w:b w:val="false"/>
          <w:i w:val="false"/>
          <w:caps w:val="false"/>
          <w:smallCaps w:val="false"/>
          <w:sz w:val="20"/>
        </w:rPr>
        <w:t>We do not provide Non-Equity Incentive Compensation to our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Pension Benefits.    </w:t>
      </w:r>
      <w:r>
        <w:rPr>
          <w:rFonts w:ascii="Times New Roman PS Std;serif" w:hAnsi="Times New Roman PS Std;serif"/>
          <w:b w:val="false"/>
          <w:i w:val="false"/>
          <w:caps w:val="false"/>
          <w:smallCaps w:val="false"/>
          <w:sz w:val="20"/>
        </w:rPr>
        <w:t>We do not have a pension plan and therefore, do not offer any such pension arrangements to our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Outside Directors Compensation Table for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provides compensation information for the year ended December 31, 2025 for each non-employee member of our Board of Directors. Richard Drexler resigned from the Board on January 31, 2025. Peter Shapiro and Sanjay Tolia joined the Board on January 31, 2025.</w:t>
      </w:r>
    </w:p>
    <w:tbl>
      <w:tblPr>
        <w:tblW w:w="11517" w:type="dxa"/>
        <w:jc w:val="left"/>
        <w:tblInd w:w="0" w:type="dxa"/>
        <w:tblLayout w:type="fixed"/>
        <w:tblCellMar>
          <w:top w:w="0" w:type="dxa"/>
          <w:left w:w="0" w:type="dxa"/>
          <w:bottom w:w="0" w:type="dxa"/>
          <w:right w:w="0" w:type="dxa"/>
        </w:tblCellMar>
      </w:tblPr>
      <w:tblGrid>
        <w:gridCol w:w="1006"/>
        <w:gridCol w:w="146"/>
        <w:gridCol w:w="297"/>
        <w:gridCol w:w="859"/>
        <w:gridCol w:w="146"/>
        <w:gridCol w:w="286"/>
        <w:gridCol w:w="946"/>
        <w:gridCol w:w="146"/>
        <w:gridCol w:w="378"/>
        <w:gridCol w:w="538"/>
        <w:gridCol w:w="146"/>
        <w:gridCol w:w="676"/>
        <w:gridCol w:w="960"/>
        <w:gridCol w:w="146"/>
        <w:gridCol w:w="676"/>
        <w:gridCol w:w="960"/>
        <w:gridCol w:w="146"/>
        <w:gridCol w:w="676"/>
        <w:gridCol w:w="960"/>
        <w:gridCol w:w="146"/>
        <w:gridCol w:w="286"/>
        <w:gridCol w:w="991"/>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w:t>
              <w:br/>
              <w:t xml:space="preserve">Earned or </w:t>
              <w:br/>
              <w:t xml:space="preserve">Paid In </w:t>
              <w:br/>
              <w:t>Cash(1)</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Awards(2)(3)(4)</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Awards</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Compensation</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 xml:space="preserve">Pension </w:t>
              <w:br/>
              <w:t xml:space="preserve">Value and </w:t>
              <w:br/>
              <w:t xml:space="preserve">Nonqualified </w:t>
              <w:br/>
              <w:t xml:space="preserve">Deferred </w:t>
              <w:br/>
              <w:t xml:space="preserve">Compensation </w:t>
              <w:br/>
              <w:t>Earnings</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0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Drexler</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0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Holtzman</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139,300</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170,300</w:t>
            </w:r>
          </w:p>
        </w:tc>
      </w:tr>
      <w:tr>
        <w:trPr/>
        <w:tc>
          <w:tcPr>
            <w:tcW w:w="10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Mahoney</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139,300</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170,300</w:t>
            </w:r>
          </w:p>
        </w:tc>
      </w:tr>
      <w:tr>
        <w:trPr/>
        <w:tc>
          <w:tcPr>
            <w:tcW w:w="10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Shapiro</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29,637</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52,554</w:t>
            </w:r>
          </w:p>
        </w:tc>
      </w:tr>
      <w:tr>
        <w:trPr/>
        <w:tc>
          <w:tcPr>
            <w:tcW w:w="10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Sanjay Tolia</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29,637</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52,554</w:t>
            </w:r>
          </w:p>
        </w:tc>
      </w:tr>
      <w:tr>
        <w:trPr/>
        <w:tc>
          <w:tcPr>
            <w:tcW w:w="10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Armon Vakili</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139,300</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163,300</w:t>
            </w:r>
          </w:p>
        </w:tc>
      </w:tr>
      <w:tr>
        <w:trPr/>
        <w:tc>
          <w:tcPr>
            <w:tcW w:w="10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Krishnan Varier</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139,300</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169,300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the aggregate dollar amount of all fees earned or paid in cash for services as a director, including monthly retainer fees and committee membership, as described above.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reported amounts are calculated in accordance with the provisions of Financial Accounting Standards Board (“FASB”) Accounting Standard Codification Topic 718, “Compensation — Stock Compensation (“ASC Topic 718”).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December 31, 2025, the aggregate number of unvested restricted stock units outstanding for each non-employee director serving as of that date were as follows: 5,000 for Mr. Holtzman, 5,000 for Mr. Mahoney, 5,000 for Mr. Shapiro, 5,000 for Mr. Tolia, 5,000 for Mr. Varier, and 5,000 for Mr. Vakili.</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As of December 31, 2025, the aggregate number of unexercised stock option awards outstanding for each non-employee director serving as of that date were as follows: 31 for Mr. Mahoney, 32 for Mr. Varier, and none for Messrs. Holtzman, Shapiro, Tolia or Vakili.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Communications with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RYTHM, Inc., 2220 Hicks Road, Suite 210, Rolling Meadows, Illinois 60008, Attn: Corporate Secretary”. Communications by e-mail should be addressed to ir@RYTHMinc.com and marked “Attention: Corporate Secretary” in the “Subject” field. Requests for contact, except for those stockholder 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 subject to advice and assistance from the Company’s legal advisors, (i) be primarily responsible for monitoring communications from shareholders and other interested parties and (ii) provide copies or summaries of such communications to the other directors as he or she considers appropriate.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required, absent compelling circumstances, to attend our Annual Meeting of Stockholders. All of the then-current members of the Company’s Board other than Mr. Tolia attended the Company’s 2025 Annual Meeting of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Ethics and Business Conduct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PS Std;serif" w:hAnsi="Times New Roman PS Std;serif"/>
          <w:b w:val="false"/>
          <w:i/>
          <w:caps w:val="false"/>
          <w:smallCaps w:val="false"/>
          <w:sz w:val="20"/>
        </w:rPr>
        <w:t>https://ir.rythminc.com</w:t>
      </w:r>
      <w:r>
        <w:rPr>
          <w:rFonts w:ascii="Times New Roman PS Std;serif" w:hAnsi="Times New Roman PS Std;serif"/>
          <w:b w:val="false"/>
          <w:i w:val="false"/>
          <w:caps w:val="false"/>
          <w:smallCaps w:val="false"/>
          <w:sz w:val="20"/>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Insider Trading Policy, which governs the purchase, sale and other dispositions of our securities by employees, officers, directors, agents, contractors, vendors and service providers of the Company, as well as their immediate family members, other persons living in their households, and any entity that they own or control. The Insider Trading Policy is reasonably designed to promote compliance with insider trading laws, rules and regulations and all applicable listing standards. The Insider Trading Policy generally prohibits covered persons from directly or indirectly purchasing or selling our securities while in possession of material non-public information concerning us. The Insider Trading Policy also applies to the securities of any other companies to the extent any covered person obtains material nonpublic information regarding such other company in the course of performing services for us or another company is deemed to have a market connection with us. The Insider Trading Policy requires pre-approval of any transaction related to our securities by certain designated individuals, including our directors, executive officers, and persons having access to financial results, projections or other material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Anti-Hedging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our Insider Trading Policy, covered persons, including our directors, officers and employees who possess material nonpublic information regarding the Company, may not buy or sell publicly traded options, puts or calls on company securities, and may not hedging or other financial instruments designed to hedge or offset any decrease in value of our securities, including prepaid variable forward contracts, equity swaps, collars and exchange funds. The Insider Trading Policy prohibits covered persons from using Company securities to support a margin debt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pledge Company securities at a time when the covered person is in possession of material nonpublic information or is otherwise not permitted to trade in our securities, except for margin loans with registered broker-dealers that comply with applicable margin rules. In addition, our directors, executive officers and employees are prohibited from engaging in short sales of our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Grant Timing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not adopted a formal policy pertaining to the timing of stock option grants, it is our practice not to time the grant of equity awards, including stock options, in relation to the release of material non-public information. Similarly, we do not time the disclosure of material nonpublic information for the purpose of affecting the value of executive compensation. Although we have not recently granted stock options to our named executive officers, the Compensation Committee generally approves the grant of annual equity awards for the Company’s executive officers, including each of the named executive officers, in December of each year. In special circumstances, including the hiring or promotion of an individual or where the Compensation Committee determines it is in the best interest of the Company, the Compensation Committee may approve grants of equity awards at other times. During the year ended December 31, 2025, we did not grant stock options or stock appreciation rights to any named executive officer during any period beginning four business days before and ending one business day after the filing of any Quarterly Report on Form 10-Q, Annual Report on Form 10-K, or Current Report on Form 8-K, in each case that disclosed any material non-public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Clawback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clawback policy (the “Clawback Policy”) in accordance with the listing standards and rules of the Nasdaq Stock Market, that requires the Board to recoup excess compensation paid to our executive officers as a result of a financial statement restatement, regardless of any misconduct, fault or illegal activity on the part of the executive officer. The Clawback Policy applies in the case of an accounting restatement due to the material noncompliance of the Company with any financial reporting requirement under the securities laws. The Clawback Policy applies to all incentive-based compensation, which is any compensation that is granted, earned, or vested based wholly or in part upon the attainment of a financial reporting measure, received by our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Delinquent Section 16 Reports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directors and beneficial owners of more than 10% of our Common Stock are required under Section 16(a) of the Securities Exchange Act of 1934 to file reports of ownership and changes in ownership with the Securities and Exchange Commission. Copies of those reports must also be furnished to us. Based solely on a review of the copies of the reports furnished to us and written representations from certain reporting persons that no other reports were required, we believe that during the year ended December 31, 2025, the reporting persons complied on a timely basis with all Section 16(a) filing requirements applicable to them, except for a Form 3 for Mr. Tolia that was filed on February 5, 2025 with respect to restricted stock units granted on January 31, 2025 due to a delay in receiving EDGAR codes from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503"/>
      <w:bookmarkEnd w:id="4"/>
      <w:r>
        <w:rPr>
          <w:rFonts w:ascii="Times New Roman PS Std;serif" w:hAnsi="Times New Roman PS Std;serif"/>
          <w:b/>
          <w:i w:val="false"/>
          <w:caps w:val="false"/>
          <w:smallCaps w:val="false"/>
          <w:sz w:val="20"/>
        </w:rPr>
        <w:t xml:space="preserve">STOCK OWNERSHIP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Beneficial Ownership of Certain Stockholders,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as of April 20, 2026,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April 20, 2026, there were 52 record holders and 2,149,128 outstanding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April 20, 2026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April 20, 2026, are deemed outstanding for the purpose of computing the percentage ownership of the person holding those options or warrants but are not deemed outstanding for computing the percentage ownership of any other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below, to our knowledge, all persons named in the table have sole voting and investment power with respect to their shares of Common Stock, except to the extent spouses share authority under community property laws.</w:t>
      </w:r>
    </w:p>
    <w:tbl>
      <w:tblPr>
        <w:tblW w:w="8754" w:type="dxa"/>
        <w:jc w:val="left"/>
        <w:tblInd w:w="0" w:type="dxa"/>
        <w:tblLayout w:type="fixed"/>
        <w:tblCellMar>
          <w:top w:w="0" w:type="dxa"/>
          <w:left w:w="0" w:type="dxa"/>
          <w:bottom w:w="0" w:type="dxa"/>
          <w:right w:w="0" w:type="dxa"/>
        </w:tblCellMar>
      </w:tblPr>
      <w:tblGrid>
        <w:gridCol w:w="5836"/>
        <w:gridCol w:w="146"/>
        <w:gridCol w:w="1306"/>
        <w:gridCol w:w="146"/>
        <w:gridCol w:w="849"/>
        <w:gridCol w:w="471"/>
      </w:tblGrid>
      <w:tr>
        <w:trPr/>
        <w:tc>
          <w:tcPr>
            <w:tcW w:w="5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72"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Beneficial Ownership</w:t>
            </w:r>
          </w:p>
        </w:tc>
      </w:tr>
      <w:tr>
        <w:trPr/>
        <w:tc>
          <w:tcPr>
            <w:tcW w:w="58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Total(1)</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Greater than 5% Holders</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 Thumb Industries Inc.(2)</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13,290,387</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w:t>
            </w:r>
          </w:p>
        </w:tc>
        <w:tc>
          <w:tcPr>
            <w:tcW w:w="4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Directors and Executive Officers</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Kovler(4)</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52,314</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Asher</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Holtzman(5)</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Mahoney(6)</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Shapiro(7)</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Sanjay Tolia(8)</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6,250</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Armon Vakili(9)</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8,100</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Krishnan Varier(10)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5,032</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(8 persons)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88,027</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w:t>
            </w:r>
          </w:p>
        </w:tc>
        <w:tc>
          <w:tcPr>
            <w:tcW w:w="4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percentages shown with respect to any identified individual or group are calculated by dividing: (i) the sum of (a) the number of shares of Common Stock actually owned as of April 20, 2026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2,149,128 shares of Common Stock outstanding as of April 20, 2026, plus the amount referenced in clause (i)(b) for such individual or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information is based in part upon an amended Schedule 13D filed jointly by RSLGH, LLC (“RSLGH”), Wellness Mgmt, LLC (“Wellness”), For Success Holdings Company (“For Success”), VCP23, LLC (“VCP”), GTI23, Inc. (“GTI23”), and Green Thumb. Consists of (i) 698,961 shares of Common Stock, (ii) 6,169,702 shares of Common Stock underlying warrants that are subject to a 49.99% beneficial ownership limitation and that are exercisable within 60 days of April 20, 2026, (iii) 185,500 shares of Common Stock underlying warrants that are subject to a 4.99% beneficial ownership limitation and that are exercisable within 60 days of April 20, 2026, and (iv) 6,236,224 shares of Common Stock underlying warrants that are subject to a 49.99% beneficial ownership limitation and that are exercisable within 60 days of April 20, 2026. Wellness is the sole member of RSLGH, For Success is the sole member of Wellness, VCP is the sole shareholder of For Success, GTI23 is the sole member of VCP23, and Green Thumb is the sole shareholder of GTI23. The address of Green Thumb is 325 West Huron Street, Suite 700, Chicago, IL 60654.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address of each of the directors and executive officers listed above is c/o RYTHM, Inc., 2220 Hicks Road, Suite 210, Rolling Meadows, Illinois 60008.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(i) 51,474 shares held by Mr. Kovler and (ii) 840 shares held by Mr. Kovler’s daughters.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5,000 Restricted Stock Units that may vest within 60 days of April 20,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(i) 31 stock options that may be exercised within 60 days of April 20, 2026 and (ii) 5,000 Restricted Stock Units that may vest within 60 days of April 20,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1,300 shares held by Mr. Shapiro and (ii) 5,000 Restricted Stock Units that may vest within 60 days of April 20,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(i) 1,250 shares held by Mr. Tolia and (ii) 5,000 Restricted Stock Units that may vest within 60 days of April 20,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3,100 shares held by Mr. Vakili and (ii) 5,000 Restricted Stock Units that may vest within 60 days of April 20,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32 stock options that may be exercised within 60 days of April 20, 2026 and (ii) 5,000 Restricted Stock Units that may vest within 60 days of April 20,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504"/>
      <w:bookmarkEnd w:id="5"/>
      <w:r>
        <w:rPr>
          <w:rFonts w:ascii="Times New Roman PS Std;serif" w:hAnsi="Times New Roman PS Std;serif"/>
          <w:b/>
          <w:i w:val="false"/>
          <w:caps w:val="false"/>
          <w:smallCaps w:val="false"/>
          <w:sz w:val="20"/>
        </w:rPr>
        <w:t xml:space="preserve">EQUITY COMPENSATION PLANS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Plan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April 2022, our Board of Directors, and on June 8, 2022, our stockholders, adopted and approved the 2022 Omnibus Plan. In January 2024, August 2024 and June 2025, our stockholders approved amendments to the 2022 Omnibus Plan. The 2022 Omnibus Plan provides for the grant of stock options, stock appreciation rights (“SARs”), restricted stock, restricted stock units, performance share awards, and other stock-based and cash-based awards to our non-employee directors, officers, employees and non-employee consultants. The aggregate number of shares of Common Stock that may be reserved and available for grant and issuance under the 2022 Omnibus Plan is 434,000 shares. Shares will be deemed to have been issued under the 2022 Omnibus Plan solely to the extent actually issued and delivered pursuant to an award. If any award expires, is cancelled, or terminates unexercised or is forfeited, the number of shares subject thereto is again available for grant under the 2022 Omnibus Plan. The 2022 Omnibus Plan will continue in effect, unless sooner terminated, until the tenth (10) anniversary of the date on which it is adopted by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18, 2020, the Company’s Board of Directors, and on January 11, 2021, the Company’s stockholders, adopted and approved the 2020 Omnibus Plan. The 2020 Omnibus Plan provided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No shares of Common Stock are reserved or available for grant and issuance under the 2020 Omnibus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regarding the above plans, see Note 15 to our audited consolidated financial statements in the Company’s Annual Report on Form 10-K for the year ended December 31, 2025, as amended.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Plan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as of December 31, 2025 concerning the number of shares of common stock issuable under our existing equity compensation plans.</w:t>
      </w:r>
    </w:p>
    <w:tbl>
      <w:tblPr>
        <w:tblW w:w="10205" w:type="dxa"/>
        <w:jc w:val="left"/>
        <w:tblInd w:w="0" w:type="dxa"/>
        <w:tblLayout w:type="fixed"/>
        <w:tblCellMar>
          <w:top w:w="0" w:type="dxa"/>
          <w:left w:w="0" w:type="dxa"/>
          <w:bottom w:w="0" w:type="dxa"/>
          <w:right w:w="0" w:type="dxa"/>
        </w:tblCellMar>
      </w:tblPr>
      <w:tblGrid>
        <w:gridCol w:w="4644"/>
        <w:gridCol w:w="146"/>
        <w:gridCol w:w="1774"/>
        <w:gridCol w:w="146"/>
        <w:gridCol w:w="467"/>
        <w:gridCol w:w="1157"/>
        <w:gridCol w:w="146"/>
        <w:gridCol w:w="1725"/>
      </w:tblGrid>
      <w:tr>
        <w:trPr/>
        <w:tc>
          <w:tcPr>
            <w:tcW w:w="464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bottom"/>
          </w:tcPr>
          <w:p>
            <w:pPr>
              <w:pStyle w:val="TableContents"/>
              <w:bidi w:val="0"/>
              <w:spacing w:before="0" w:after="283"/>
              <w:jc w:val="left"/>
              <w:rPr/>
            </w:pPr>
            <w:r>
              <w:rPr/>
              <w:t> </w:t>
            </w:r>
          </w:p>
        </w:tc>
        <w:tc>
          <w:tcPr>
            <w:tcW w:w="17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be </w:t>
              <w:br/>
              <w:t xml:space="preserve">Issued Upon </w:t>
              <w:br/>
              <w:t xml:space="preserve">Exercise of </w:t>
              <w:br/>
              <w:t xml:space="preserve">Outstanding </w:t>
              <w:br/>
              <w:t xml:space="preserve">Options, </w:t>
              <w:br/>
              <w:t xml:space="preserve">Restricted Stock </w:t>
              <w:br/>
              <w:t xml:space="preserve">Units, Warrants </w:t>
              <w:br/>
              <w:t>and Rights</w:t>
            </w:r>
          </w:p>
        </w:tc>
        <w:tc>
          <w:tcPr>
            <w:tcW w:w="146"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of </w:t>
              <w:br/>
              <w:t xml:space="preserve">Outstanding </w:t>
              <w:br/>
              <w:t xml:space="preserve">Options, </w:t>
              <w:br/>
              <w:t xml:space="preserve">Warrants, and </w:t>
              <w:br/>
              <w:t>Rights</w:t>
            </w:r>
          </w:p>
        </w:tc>
        <w:tc>
          <w:tcPr>
            <w:tcW w:w="146" w:type="dxa"/>
            <w:tcBorders/>
            <w:vAlign w:val="bottom"/>
          </w:tcPr>
          <w:p>
            <w:pPr>
              <w:pStyle w:val="TableContents"/>
              <w:bidi w:val="0"/>
              <w:spacing w:before="0" w:after="283"/>
              <w:jc w:val="left"/>
              <w:rPr/>
            </w:pPr>
            <w:r>
              <w:rPr/>
              <w:t> </w:t>
            </w:r>
          </w:p>
        </w:tc>
        <w:tc>
          <w:tcPr>
            <w:tcW w:w="17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w:t>
              <w:br/>
              <w:t xml:space="preserve">For Future </w:t>
              <w:br/>
              <w:t xml:space="preserve">Issuance </w:t>
              <w:br/>
              <w:t xml:space="preserve">Under Equity </w:t>
              <w:br/>
              <w:t xml:space="preserve">Compensation </w:t>
              <w:br/>
              <w:t xml:space="preserve">Plans </w:t>
              <w:br/>
              <w:t xml:space="preserve">(Excluding </w:t>
              <w:br/>
              <w:t xml:space="preserve">Securities </w:t>
              <w:br/>
              <w:t xml:space="preserve">Reflected in </w:t>
              <w:br/>
              <w:t>Column (a))</w:t>
            </w:r>
          </w:p>
        </w:tc>
      </w:tr>
      <w:tr>
        <w:trPr/>
        <w:tc>
          <w:tcPr>
            <w:tcW w:w="46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17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r>
      <w:tr>
        <w:trPr/>
        <w:tc>
          <w:tcPr>
            <w:tcW w:w="46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holders(1)</w:t>
            </w:r>
          </w:p>
        </w:tc>
        <w:tc>
          <w:tcPr>
            <w:tcW w:w="146"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126,775</w:t>
            </w:r>
          </w:p>
        </w:tc>
        <w:tc>
          <w:tcPr>
            <w:tcW w:w="146"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w:t>
            </w:r>
          </w:p>
        </w:tc>
        <w:tc>
          <w:tcPr>
            <w:tcW w:w="146"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135,065</w:t>
            </w:r>
          </w:p>
        </w:tc>
      </w:tr>
      <w:tr>
        <w:trPr/>
        <w:tc>
          <w:tcPr>
            <w:tcW w:w="46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vAlign w:val="bottom"/>
          </w:tcPr>
          <w:p>
            <w:pPr>
              <w:pStyle w:val="TableContents"/>
              <w:bidi w:val="0"/>
              <w:spacing w:before="0" w:after="283"/>
              <w:jc w:val="left"/>
              <w:rPr/>
            </w:pPr>
            <w:r>
              <w:rPr/>
              <w:t> </w:t>
            </w:r>
          </w:p>
        </w:tc>
        <w:tc>
          <w:tcPr>
            <w:tcW w:w="17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126,775</w:t>
            </w:r>
          </w:p>
        </w:tc>
        <w:tc>
          <w:tcPr>
            <w:tcW w:w="146"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w:t>
            </w:r>
          </w:p>
        </w:tc>
        <w:tc>
          <w:tcPr>
            <w:tcW w:w="146"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135,065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our 2022 Omnibus Plan and our 2020 Omnibus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505"/>
      <w:bookmarkEnd w:id="6"/>
      <w:r>
        <w:rPr>
          <w:rFonts w:ascii="Times New Roman PS Std;serif" w:hAnsi="Times New Roman PS Std;serif"/>
          <w:b/>
          <w:i w:val="false"/>
          <w:caps w:val="false"/>
          <w:smallCaps w:val="false"/>
          <w:sz w:val="20"/>
        </w:rPr>
        <w:t xml:space="preserve">EXECUTIVE OFFICERS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are the names and ages of RYTHM’s current executive officers, the year they became a named executive officer, and their principal occupations or employment for at least the past five years.</w:t>
      </w:r>
    </w:p>
    <w:tbl>
      <w:tblPr>
        <w:tblW w:w="10205" w:type="dxa"/>
        <w:jc w:val="left"/>
        <w:tblInd w:w="0" w:type="dxa"/>
        <w:tblLayout w:type="fixed"/>
        <w:tblCellMar>
          <w:top w:w="0" w:type="dxa"/>
          <w:left w:w="0" w:type="dxa"/>
          <w:bottom w:w="0" w:type="dxa"/>
          <w:right w:w="0" w:type="dxa"/>
        </w:tblCellMar>
      </w:tblPr>
      <w:tblGrid>
        <w:gridCol w:w="916"/>
        <w:gridCol w:w="146"/>
        <w:gridCol w:w="556"/>
        <w:gridCol w:w="146"/>
        <w:gridCol w:w="8441"/>
      </w:tblGrid>
      <w:tr>
        <w:trPr/>
        <w:tc>
          <w:tcPr>
            <w:tcW w:w="9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Experience</w:t>
            </w:r>
          </w:p>
        </w:tc>
      </w:tr>
      <w:tr>
        <w:trPr/>
        <w:tc>
          <w:tcPr>
            <w:tcW w:w="9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tcPr>
          <w:p>
            <w:pPr>
              <w:pStyle w:val="TableContents"/>
              <w:bidi w:val="0"/>
              <w:spacing w:before="0" w:after="283"/>
              <w:jc w:val="left"/>
              <w:rPr/>
            </w:pPr>
            <w:r>
              <w:rPr/>
              <w:t> </w:t>
            </w:r>
          </w:p>
        </w:tc>
        <w:tc>
          <w:tcPr>
            <w:tcW w:w="84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w:t>
            </w:r>
            <w:r>
              <w:rPr>
                <w:rFonts w:ascii="Times New Roman PS Std;serif" w:hAnsi="Times New Roman PS Std;serif"/>
                <w:b w:val="false"/>
                <w:i/>
                <w:caps w:val="false"/>
                <w:smallCaps w:val="false"/>
                <w:sz w:val="20"/>
              </w:rPr>
              <w:t>ITEM 1 — Election of</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Directors — Nominees for Election</w:t>
            </w:r>
            <w:r>
              <w:rPr>
                <w:rFonts w:ascii="Times New Roman PS Std;serif" w:hAnsi="Times New Roman PS Std;serif"/>
                <w:b w:val="false"/>
                <w:i w:val="false"/>
                <w:caps w:val="false"/>
                <w:smallCaps w:val="false"/>
                <w:sz w:val="20"/>
              </w:rPr>
              <w:t>” of this Proxy.</w:t>
            </w:r>
          </w:p>
        </w:tc>
      </w:tr>
      <w:tr>
        <w:trPr/>
        <w:tc>
          <w:tcPr>
            <w:tcW w:w="91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Asher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tcPr>
          <w:p>
            <w:pPr>
              <w:pStyle w:val="TableContents"/>
              <w:bidi w:val="0"/>
              <w:spacing w:before="0" w:after="283"/>
              <w:jc w:val="left"/>
              <w:rPr/>
            </w:pPr>
            <w:r>
              <w:rPr/>
              <w:t> </w:t>
            </w:r>
          </w:p>
        </w:tc>
        <w:tc>
          <w:tcPr>
            <w:tcW w:w="844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Asher joined RYTHM as Chief Financial Officer on March 24, 2025, when he also became a member of Green Thumb’s financial and accounting team. He provides services to RYTHM pursuant to a Shared Services Agreement between RYTHM and Green Thumb. Prior to joining Green Thumb and the Company, Mr. Asher served as the Chief Financial Officer of Ayr Wellness Inc. from November 2019 to March 2025, after having served as its controller from June 2019 to November 2019. Prior to that, Mr. Asher served in various positions at IgnitionOne, a global ad-tech company, from July 2013 to May 2019, most recently as its Vice President, Controller and a manager at the global accounting firm KPMG from September 2007 to July 2013. Mr. Asher received a bachelor’s degree in accounting from the University of Massachusetts Amherst.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506"/>
      <w:bookmarkEnd w:id="7"/>
      <w:r>
        <w:rPr>
          <w:rFonts w:ascii="Times New Roman PS Std;serif" w:hAnsi="Times New Roman PS Std;serif"/>
          <w:b/>
          <w:i w:val="false"/>
          <w:caps w:val="false"/>
          <w:smallCaps w:val="false"/>
          <w:sz w:val="20"/>
        </w:rPr>
        <w:t xml:space="preserve">COMPENSATION OF NAMED EXECUTIVE OFFICERS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compensation paid, or payable, for the last two fiscal years to our named executive officers. Our named executive officers during the fiscal year ended December 31, 2025 were Benjamin Kovler, our Chairman and Interim Chief Executive Officer, and Brad Asher, our Chief Financial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total compensation paid or earned by each of the named executive officers noted below for services rendered in all capacities, during the fiscal years ended December 31, 2025 and 2024. As a smaller reporting company, we are only required to provide two years of compensation information for our named executive officers. Mr. Asher, the Company’s current Chief Financial Officer, joined the Company in March 2025 and thus was not compensated in 2024.</w:t>
      </w:r>
    </w:p>
    <w:tbl>
      <w:tblPr>
        <w:tblW w:w="13942" w:type="dxa"/>
        <w:jc w:val="left"/>
        <w:tblInd w:w="0" w:type="dxa"/>
        <w:tblLayout w:type="fixed"/>
        <w:tblCellMar>
          <w:top w:w="0" w:type="dxa"/>
          <w:left w:w="0" w:type="dxa"/>
          <w:bottom w:w="0" w:type="dxa"/>
          <w:right w:w="0" w:type="dxa"/>
        </w:tblCellMar>
      </w:tblPr>
      <w:tblGrid>
        <w:gridCol w:w="3061"/>
        <w:gridCol w:w="146"/>
        <w:gridCol w:w="646"/>
        <w:gridCol w:w="146"/>
        <w:gridCol w:w="946"/>
        <w:gridCol w:w="146"/>
        <w:gridCol w:w="1126"/>
        <w:gridCol w:w="146"/>
        <w:gridCol w:w="916"/>
        <w:gridCol w:w="146"/>
        <w:gridCol w:w="1636"/>
        <w:gridCol w:w="146"/>
        <w:gridCol w:w="1636"/>
        <w:gridCol w:w="146"/>
        <w:gridCol w:w="1636"/>
        <w:gridCol w:w="146"/>
        <w:gridCol w:w="117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 xml:space="preserve">Compensation </w:t>
              <w:b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Non-qualified </w:t>
              <w:br/>
              <w:t xml:space="preserve">Deferred </w:t>
              <w:br/>
              <w:t xml:space="preserve">Compensation </w:t>
              <w:br/>
              <w:t xml:space="preserve">Earnings </w:t>
              <w:b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3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591,963</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591,964</w:t>
            </w:r>
          </w:p>
        </w:tc>
      </w:tr>
      <w:tr>
        <w:trPr/>
        <w:tc>
          <w:tcPr>
            <w:tcW w:w="30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Chairman and Interim Chief Executive Officer</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1,115,000</w:t>
            </w:r>
          </w:p>
        </w:tc>
        <w:tc>
          <w:tcPr>
            <w:tcW w:w="146" w:type="dxa"/>
            <w:tcBorders/>
            <w:shd w:fill="CCEEFF" w:val="clear"/>
          </w:tcPr>
          <w:p>
            <w:pPr>
              <w:pStyle w:val="TableContents"/>
              <w:bidi w:val="0"/>
              <w:spacing w:before="0" w:after="283"/>
              <w:jc w:val="left"/>
              <w:rPr/>
            </w:pPr>
            <w:r>
              <w:rPr/>
              <w:t> </w:t>
            </w:r>
          </w:p>
        </w:tc>
        <w:tc>
          <w:tcPr>
            <w:tcW w:w="91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1,115,001</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Asher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671,105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247,080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918,185</w:t>
            </w:r>
          </w:p>
        </w:tc>
      </w:tr>
      <w:tr>
        <w:trPr/>
        <w:tc>
          <w:tcPr>
            <w:tcW w:w="30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Chief Financial Officer</w:t>
            </w:r>
            <w:r>
              <w:rPr>
                <w:rFonts w:ascii="Times New Roman PS Std;serif" w:hAnsi="Times New Roman PS Std;serif"/>
                <w:b w:val="false"/>
                <w:i w:val="false"/>
                <w:caps w:val="false"/>
                <w:smallCaps w:val="false"/>
                <w:sz w:val="20"/>
              </w:rPr>
              <w:t>(2)</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91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3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Amounts are based on the aggregate grant date fair value of stock awards and stock option awards made to the Named Executive Officers in the applicable year. The reported amounts are calculated in accordance with the provisions of ASC Topic 718. See Note 15 of the notes to consolidated financial statements included in our Annual Report on Form 10-K filed on March 3, 2026, regarding assumptions underlying the valuation of our equity awards.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Asher became the Company’s Chief Financial Officer on March 24, 2025 and provides services to the Company pursuant to the CFO Services Agreement (as defined below under the heading “Certain Relationships and Related Transactions — Related Party Transactions — </w:t>
      </w:r>
      <w:r>
        <w:rPr>
          <w:rFonts w:ascii="Times New Roman PS Std;serif" w:hAnsi="Times New Roman PS Std;serif"/>
          <w:b w:val="false"/>
          <w:i/>
          <w:caps w:val="false"/>
          <w:smallCaps w:val="false"/>
          <w:sz w:val="18"/>
        </w:rPr>
        <w:t>Shared Services Agreements</w:t>
      </w:r>
      <w:r>
        <w:rPr>
          <w:rFonts w:ascii="Times New Roman PS Std;serif" w:hAnsi="Times New Roman PS Std;serif"/>
          <w:b w:val="false"/>
          <w:i w:val="false"/>
          <w:caps w:val="false"/>
          <w:smallCaps w:val="false"/>
          <w:sz w:val="18"/>
        </w:rPr>
        <w:t>”). He is compensated by Vision Management Services, LLC, an indirect wholly-owned subsidiary of Green Thumb (“VMS”), and we pay VMS for the cost of those services pursuant to the terms of the CFO Services Agreement at a maximum amount of $72,552 per month. This arrangement constitutes indirect compensation to a named executive officer and is reported above as “salary” in accordance with Item 402(a)(2) of regulation 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outstanding equity awards for Named Executive Officers as of December 31, 2025.</w:t>
      </w:r>
    </w:p>
    <w:tbl>
      <w:tblPr>
        <w:tblW w:w="11403" w:type="dxa"/>
        <w:jc w:val="left"/>
        <w:tblInd w:w="0" w:type="dxa"/>
        <w:tblLayout w:type="fixed"/>
        <w:tblCellMar>
          <w:top w:w="0" w:type="dxa"/>
          <w:left w:w="0" w:type="dxa"/>
          <w:bottom w:w="0" w:type="dxa"/>
          <w:right w:w="0" w:type="dxa"/>
        </w:tblCellMar>
      </w:tblPr>
      <w:tblGrid>
        <w:gridCol w:w="911"/>
        <w:gridCol w:w="146"/>
        <w:gridCol w:w="751"/>
        <w:gridCol w:w="146"/>
        <w:gridCol w:w="601"/>
        <w:gridCol w:w="345"/>
        <w:gridCol w:w="146"/>
        <w:gridCol w:w="1321"/>
        <w:gridCol w:w="146"/>
        <w:gridCol w:w="1606"/>
        <w:gridCol w:w="146"/>
        <w:gridCol w:w="415"/>
        <w:gridCol w:w="591"/>
        <w:gridCol w:w="146"/>
        <w:gridCol w:w="1216"/>
        <w:gridCol w:w="146"/>
        <w:gridCol w:w="1201"/>
        <w:gridCol w:w="146"/>
        <w:gridCol w:w="286"/>
        <w:gridCol w:w="991"/>
      </w:tblGrid>
      <w:tr>
        <w:trPr/>
        <w:tc>
          <w:tcPr>
            <w:tcW w:w="9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76"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c>
          <w:tcPr>
            <w:tcW w:w="146" w:type="dxa"/>
            <w:tcBorders/>
            <w:vAlign w:val="bottom"/>
          </w:tcPr>
          <w:p>
            <w:pPr>
              <w:pStyle w:val="TableContents"/>
              <w:bidi w:val="0"/>
              <w:spacing w:before="0" w:after="283"/>
              <w:jc w:val="left"/>
              <w:rPr/>
            </w:pPr>
            <w:r>
              <w:rPr/>
              <w:t> </w:t>
            </w:r>
          </w:p>
        </w:tc>
        <w:tc>
          <w:tcPr>
            <w:tcW w:w="26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Date</w:t>
            </w:r>
          </w:p>
        </w:tc>
        <w:tc>
          <w:tcPr>
            <w:tcW w:w="146" w:type="dxa"/>
            <w:vMerge w:val="restart"/>
            <w:tcBorders/>
            <w:vAlign w:val="bottom"/>
          </w:tcPr>
          <w:p>
            <w:pPr>
              <w:pStyle w:val="TableContents"/>
              <w:bidi w:val="0"/>
              <w:spacing w:before="0" w:after="283"/>
              <w:jc w:val="left"/>
              <w:rPr/>
            </w:pPr>
            <w:r>
              <w:rPr/>
              <w:t> </w:t>
            </w:r>
          </w:p>
        </w:tc>
        <w:tc>
          <w:tcPr>
            <w:tcW w:w="94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Vesting </w:t>
              <w:br/>
              <w:t>Period</w:t>
            </w:r>
          </w:p>
        </w:tc>
        <w:tc>
          <w:tcPr>
            <w:tcW w:w="146" w:type="dxa"/>
            <w:vMerge w:val="restart"/>
            <w:tcBorders/>
            <w:vAlign w:val="bottom"/>
          </w:tcPr>
          <w:p>
            <w:pPr>
              <w:pStyle w:val="TableContents"/>
              <w:bidi w:val="0"/>
              <w:spacing w:before="0" w:after="283"/>
              <w:jc w:val="left"/>
              <w:rPr/>
            </w:pPr>
            <w:r>
              <w:rPr/>
              <w:t> </w:t>
            </w:r>
          </w:p>
        </w:tc>
        <w:tc>
          <w:tcPr>
            <w:tcW w:w="3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Securities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Underlying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Unexercised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Options</w:t>
            </w:r>
          </w:p>
        </w:tc>
        <w:tc>
          <w:tcPr>
            <w:tcW w:w="146" w:type="dxa"/>
            <w:tcBorders/>
            <w:vAlign w:val="bottom"/>
          </w:tcPr>
          <w:p>
            <w:pPr>
              <w:pStyle w:val="TableContents"/>
              <w:bidi w:val="0"/>
              <w:spacing w:before="0" w:after="283"/>
              <w:jc w:val="left"/>
              <w:rPr/>
            </w:pPr>
            <w:r>
              <w:rPr/>
              <w:t> </w:t>
            </w:r>
          </w:p>
        </w:tc>
        <w:tc>
          <w:tcPr>
            <w:tcW w:w="100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 xml:space="preserve">Exercise </w:t>
              <w:br/>
              <w:t>Price</w:t>
            </w:r>
          </w:p>
        </w:tc>
        <w:tc>
          <w:tcPr>
            <w:tcW w:w="146" w:type="dxa"/>
            <w:vMerge w:val="restart"/>
            <w:tcBorders/>
            <w:vAlign w:val="bottom"/>
          </w:tcPr>
          <w:p>
            <w:pPr>
              <w:pStyle w:val="TableContents"/>
              <w:bidi w:val="0"/>
              <w:spacing w:before="0" w:after="283"/>
              <w:jc w:val="left"/>
              <w:rPr/>
            </w:pPr>
            <w:r>
              <w:rPr/>
              <w:t> </w:t>
            </w:r>
          </w:p>
        </w:tc>
        <w:tc>
          <w:tcPr>
            <w:tcW w:w="121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w:t>
              <w:br/>
              <w:t xml:space="preserve">Expiration </w:t>
              <w:br/>
              <w:t>Date</w:t>
            </w:r>
          </w:p>
        </w:tc>
        <w:tc>
          <w:tcPr>
            <w:tcW w:w="146" w:type="dxa"/>
            <w:vMerge w:val="restart"/>
            <w:tcBorders/>
            <w:vAlign w:val="bottom"/>
          </w:tcPr>
          <w:p>
            <w:pPr>
              <w:pStyle w:val="TableContents"/>
              <w:bidi w:val="0"/>
              <w:spacing w:before="0" w:after="283"/>
              <w:jc w:val="left"/>
              <w:rPr/>
            </w:pPr>
            <w:r>
              <w:rPr/>
              <w:t> </w:t>
            </w:r>
          </w:p>
        </w:tc>
        <w:tc>
          <w:tcPr>
            <w:tcW w:w="120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of</w:t>
              <w:br/>
              <w:t>Shares of</w:t>
              <w:br/>
              <w:t>Stock</w:t>
              <w:br/>
              <w:t xml:space="preserve">That Have </w:t>
              <w:br/>
              <w:t xml:space="preserve">Not </w:t>
              <w:br/>
              <w:t>Vested</w:t>
            </w:r>
          </w:p>
        </w:tc>
        <w:tc>
          <w:tcPr>
            <w:tcW w:w="146" w:type="dxa"/>
            <w:vMerge w:val="restart"/>
            <w:tcBorders/>
            <w:vAlign w:val="bottom"/>
          </w:tcPr>
          <w:p>
            <w:pPr>
              <w:pStyle w:val="TableContents"/>
              <w:bidi w:val="0"/>
              <w:spacing w:before="0" w:after="283"/>
              <w:jc w:val="left"/>
              <w:rPr/>
            </w:pPr>
            <w:r>
              <w:rPr/>
              <w:t> </w:t>
            </w:r>
          </w:p>
        </w:tc>
        <w:tc>
          <w:tcPr>
            <w:tcW w:w="127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Market</w:t>
              <w:br/>
              <w:t>Value of</w:t>
              <w:br/>
              <w:t>Shares of</w:t>
              <w:br/>
              <w:t>Stock</w:t>
              <w:br/>
              <w:t xml:space="preserve">That Have </w:t>
              <w:br/>
              <w:t>Not Vested</w:t>
            </w:r>
          </w:p>
        </w:tc>
      </w:tr>
      <w:tr>
        <w:trPr/>
        <w:tc>
          <w:tcPr>
            <w:tcW w:w="9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7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Exercisable</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Unexercisable</w:t>
            </w:r>
          </w:p>
        </w:tc>
        <w:tc>
          <w:tcPr>
            <w:tcW w:w="146" w:type="dxa"/>
            <w:tcBorders/>
            <w:vAlign w:val="bottom"/>
          </w:tcPr>
          <w:p>
            <w:pPr>
              <w:pStyle w:val="TableContents"/>
              <w:bidi w:val="0"/>
              <w:spacing w:before="0" w:after="283"/>
              <w:jc w:val="left"/>
              <w:rPr/>
            </w:pPr>
            <w:r>
              <w:rPr/>
              <w:t> </w:t>
            </w:r>
          </w:p>
        </w:tc>
        <w:tc>
          <w:tcPr>
            <w:tcW w:w="100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0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77" w:type="dxa"/>
            <w:gridSpan w:val="2"/>
            <w:vMerge w:val="continue"/>
            <w:tcBorders/>
            <w:vAlign w:val="bottom"/>
          </w:tcPr>
          <w:p>
            <w:pPr>
              <w:pStyle w:val="Normal"/>
              <w:bidi w:val="0"/>
              <w:jc w:val="left"/>
              <w:rPr/>
            </w:pPr>
            <w:r>
              <w:rPr/>
            </w:r>
          </w:p>
        </w:tc>
      </w:tr>
      <w:tr>
        <w:trPr/>
        <w:tc>
          <w:tcPr>
            <w:tcW w:w="9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11/3/2025</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(1</w:t>
            </w:r>
          </w:p>
        </w:tc>
        <w:tc>
          <w:tcPr>
            <w:tcW w:w="345"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306,763</w:t>
            </w:r>
          </w:p>
        </w:tc>
      </w:tr>
      <w:tr>
        <w:trPr/>
        <w:tc>
          <w:tcPr>
            <w:tcW w:w="9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Asher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11/3/2025</w:t>
            </w:r>
          </w:p>
        </w:tc>
        <w:tc>
          <w:tcPr>
            <w:tcW w:w="146" w:type="dxa"/>
            <w:tcBorders/>
            <w:vAlign w:val="bottom"/>
          </w:tcPr>
          <w:p>
            <w:pPr>
              <w:pStyle w:val="TableContents"/>
              <w:bidi w:val="0"/>
              <w:spacing w:before="0" w:after="283"/>
              <w:jc w:val="left"/>
              <w:rPr/>
            </w:pPr>
            <w:r>
              <w:rPr/>
              <w:t> </w:t>
            </w:r>
          </w:p>
        </w:tc>
        <w:tc>
          <w:tcPr>
            <w:tcW w:w="60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(1</w:t>
            </w:r>
          </w:p>
        </w:tc>
        <w:tc>
          <w:tcPr>
            <w:tcW w:w="345"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128,040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of the restricted stock units will vest in 50% increments on March 15, 2027 and June 15, 2028, subject to the officer’s continued service through such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Pension Plan Benefits and Defined Contribution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have a pension plan or defined benefit plan that provides for payments or benefits to the Named Executive Officers at, following, or in connection with retirement.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and Separation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21, 2025, we entered into the CFO Services Agreement with VMS, an indirect wholly-owned subsidiary of Green Thumb, pursuant to which Mr. Asher provides his services as Chief Financial Officer. As consideration for those services, the Company pays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Mr. Asher is an employee of VMS.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Termination Payments and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Named Executive Officers serving as of December 31, 2025 had any agreements pursuant to which such Named Executive Officer would be eligible to receive payments in connection with a termination, resignation, retirement or change of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and Officer 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507"/>
      <w:bookmarkEnd w:id="8"/>
      <w:r>
        <w:rPr>
          <w:rFonts w:ascii="Times New Roman PS Std;serif" w:hAnsi="Times New Roman PS Std;serif"/>
          <w:b/>
          <w:i w:val="false"/>
          <w:caps w:val="false"/>
          <w:smallCaps w:val="false"/>
          <w:sz w:val="20"/>
        </w:rPr>
        <w:t xml:space="preserve">REPORT OF THE AUDIT COMMITTEE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is responsible for assisting the Board of Directors in its oversight of the integrity of the Company’s consolidated financial statements, the qualifications and independence of the Company’s independent registered public accounting firm (which is also referred to in this document as the independent auditors), and the Company’s internal financial and accounting controls. The Audit Committee has the sole authority and responsibility to select, evaluate and replace the Company’s independent registered public accounting firm. Management is responsible for the financial reporting process, including the system of internal controls, and for the preparation of consolidated financial statements in accordance with generally accepted accounting principles. The Company’s independent auditors are responsible for auditing those financial statements and expressing an opinion as to their conformity with generally accepted accounting principles.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generally accepted accounting principles or as to auditor independence. The Audit Committee relies, without independent verification, on the information provided to it and on the representations made by management and the independent auditors.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met 7 times during 2025. The meetings were designed, among other things, to facilitate and encourage communication among the Audit Committee, management and the Company’s independent auditors. The Audit Committee discussed with the independent auditors the overall scope and plans for its audits. The Audit Committee regularly met privately with the independent auditors, who have unrestricted access to the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the audited consolidated financial statements of the Company for the fiscal year ended December 31, 2025 and has discussed them with both management and the independent auditors. The Audit Committee also discussed with management and the independent auditors the process used to support certifications by the Company’s Chief Executive Officer that are required by the Securities and Exchange Commission and the Sarbanes-Oxley Act of 2002 to accompany the Company’s periodic filings with the Securities and Exchange Commission.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also discussed with the independent registered public accounting firm the matters required to be discussed by applicable standards of the Public Company Accounting Oversight Board (“PCAOB”). The Audit Committee has received the written disclosures and the letter from the independent auditors required by applicable requirements of the PCAOB regarding the independent auditors’ communications with the Audit Committee concerning independence, and the Audit Committee has discussed with the independent auditors its independence from the Company. When considering the auditors’ independence, the Audit Committee considered whether their provision of services to the Company, beyond those rendered in connection with their audit of the Company’s consolidated financial statements and review of the Company’s Quarterly Reports on Form 10-Q and Annual Report on Form 10-K, were compatible with maintaining their independence. The Audit Committee also reviewed, among other things, the audit and non-audit services performed by the independent auditors and approved the amount of fees paid for such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reviews and discussions described above, and subject to the limitations on the Audit Committee’s role and responsibilities referred to above and in the Audit Committee charter, the Audit Committee concluded that it would be reasonable to recommend, and on that basis did recommend, to the Board of Directors that the audited consolidated financial statements be included in the Company’s Annual Report on Form 10-K for the fiscal year ended December 31, 2025, as amended.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Audit Committee:</w:t>
        <w:br/>
      </w:r>
      <w:r>
        <w:rPr>
          <w:rFonts w:ascii="Times New Roman PS Std;serif" w:hAnsi="Times New Roman PS Std;serif"/>
          <w:b w:val="false"/>
          <w:i w:val="false"/>
          <w:caps w:val="false"/>
          <w:smallCaps w:val="false"/>
          <w:sz w:val="20"/>
        </w:rPr>
        <w:t>Sanjay Tolia, Chairman</w:t>
        <w:br/>
        <w:t>Max Holtzman</w:t>
        <w:br/>
        <w:t>Krishnan Varier</w:t>
        <w:br/>
        <w:t>Timothy Mahoney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508"/>
      <w:bookmarkEnd w:id="9"/>
      <w:r>
        <w:rPr>
          <w:rFonts w:ascii="Times New Roman PS Std;serif" w:hAnsi="Times New Roman PS Std;serif"/>
          <w:b/>
          <w:i w:val="false"/>
          <w:caps w:val="false"/>
          <w:smallCaps w:val="false"/>
          <w:sz w:val="20"/>
        </w:rPr>
        <w:t xml:space="preserve">ITEM 2 — RATIFICATION OF THE AUDITOR APPOINTMENT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has selected GuzmanGray, a professional corporation (“GuzmanGray”) as our independent registered public accounting firm for the fiscal year ending December 31, 2026 and has further directed that management submit the selection of our accountants for ratification by our stockholders at the Annual Meeting. GuzmanGray has served as our independent registered public accounting firm since July 19, 2024 and its predecessor firm, MATSUURA (“Matsuura”), served as our independent registered public accounting firm since June 25,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selecting GuzmanGray, the Audit Committee carefully considered the qualifications of GuzmanGray as independent auditors. This included a review of the qualifications of the engagement team, the quality control procedures the firm has established, and any issues raised by the most recent quality control review of the firm, as well as its reputation for integrity and competence in the fields of accounting and auditing. The Audit Committee’s review also included matters required to be considered under the SEC’s rules on auditor independence, including the nature and extent of non-audit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representatives of GuzmanGray to be present at the Annual Meeting with the opportunity to make a statement if they desire to do so and to be available to respond to appropriate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Selection of our independent registered public accounting firm is not required by our Amended and Restated Bylaws or otherwise to be submitted to a vote of our stockholders for ratification. In addition, the Sarbanes-Oxley Act of 2002 requires the Audit Committee of our Board of Directors to be directly responsible for the appointment, compensation and oversight of the audit work of our independent auditors. If our stockholders fail to ratify the selection, the Audit Committee will reconsider whether to retain GuzmanGray, and may retain that firm or another without re-submitting the matter to our stockholders. Even if the selection is ratified, the Audit Committee in its discretion may direct the appointment of a different independent registered public accounting firm at any time during the year if it determines that such a change would be in the best interests of us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on the ratification of the appointment of GuzmanGray as our independent registered public accounting firm at the Annual Meeting is required to ratify the appointment of GuzmanGray. Abstentions and broker “non-votes” are included in the number of shares present or represented for purposes of quorum but are not considered as shares voting or as votes cast with respect to any matter presented at the Annual Meeting. As a result, abstentions and broker “non-votes” will not have any effect on the proposal to ratify the appointment of GuzmanGray. If the stockholders do not ratify the selection of GuzmanGray, the Audit Committee will review our relationship with GuzmanGray and take such action as it deems appropriate, which may include continuing to retain GuzmanGray as the Company’s independent registered public accounting firm.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of Directors unanimously recommends that you vote “FOR” the ratification of the appointment of GuzmanGray.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Independent Registered Public Accounting Firm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Appointment of Matsuura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20, 2024, our Audit Committee dismissed our previous independent registered public accounting firm, Marcum LLP (“Marcum”), effective as of the effective date of our engagement of Matsuura.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Marcum’s audit report dated April 15, 2024 on our consolidated financial statements as of and for the years ended December 31, 2023 and 2022, did not contain an adverse opinion or a disclaimer of opinion, nor was it qualified or modified as to uncertainty, audit scope or accounting principles, other than the explanatory paragraph regarding our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years ended December 31, 2023 and 2022 and subsequent interim periods through the date of dismissal, there have been no: (i) “disagreements” (as that term is defined in Item 304(a)(1)(iv) of Regulation S-K and the related instructions) with Marcum on any matter of accounting principles or practices, financial statement disclosure, or auditing scope or procedure, which disagreement, if not resolved to the satisfaction of Marcum, would have caused them to make reference thereto in their report on the financial statements or (ii) “reportable events” (as that term is defined in Item 304(a)(1)(v) of Regulation S-K), except that Marcum concurred with the Company’s assessment of a material weakness related to the Company’s internal controls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provided Marcum with a copy of the disclosures required by Item 304(a) contained in our Current Report on Form 8-K prior to its filing with the Securities and Exchange Commission and requested that Marcum furnish us with a letter addressed to the Securities and Exchange Commission stating whether it agrees with the statements made by us in response to Item 304(a) of Regulation S-K. A copy of that letter, dated June 24, 2024, furnished by Marcum in response to that request, stating their agreement with such statements was filed as Exhibit 16.1 to our Current Report on Form 8-K filed with the Securities and Exchange Commission on June 26,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June 25, 2024, the Audit Committee appointed Matsuura as our new independent registered public accounting firm. Matsuura’s engagement was for our fiscal year ending December 31, 2024 and related interim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2023 and 2022, and through June 25, 2024, we did not consult Matsuura with respect to the application of accounting principles to a specified transaction, either completed or proposed, or the type of audit opinion that might be rendered on our consolidated financial statements, or any other matters or reportable events as defined in Item 304(a)(2)(i) and (ii) of Regulation S-K.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Appointment of GuzmanGray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2024, the audit practice of Matsuura was combined in a transaction pursuant to which Matsuura merged its operations with GuzmanGray. On July 19, 2024, Matsuura resigned as our auditors and the Audit Committee appointed GuzmanGray as our independent registered public accounting firm effective as of July 19, 2024. The Audit Committee also approved the assumption by GuzmanGray of the engagement agreement originally entered into between us and Matsuura on June 24, 2024.</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interim period from June 25, 2024 through July 19, 2024, there were no: (i) “disagreements” (as that term is defined in Item 304(a)(1)(iv) of Regulation S-K and the related instructions) with Matsuura on any matter of accounting principles or practices, financial statement disclosure, or auditing scope or procedure, which disagreement, if not resolved to the satisfaction of Matsuura, would have caused them to make reference thereto in their report on the financial statements or (ii) “reportable events” (as that term is defined in Item 304(a)(1)(v) of Regulation S-K).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provided Matsuura with a copy of the disclosures required by Item 304(a) contained in our Current Report on Form 8-K prior to its filing with the Securities and Exchange Commission and requested that Matsuura furnish us with a letter addressed to the Securities and Exchange Commission stating whether it agrees with above statements and, if it does not agree, the respects in which it does not agree. A copy of Matsuura’s letter stating their agreement with such statements, dated July 19, 2024, was filed as Exhibit 16.1 to the Current Report on Form 8-K filed with the Securities and Exchange Commission on July 22, 2024.</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2023 and 2022, and through the Effective Date, we did not consult GuzmanGray with respect to the application of accounting principles to a specified transaction, either completed or proposed, or the type of audit opinion that might be rendered on our consolidated financial statements, or any other matters or reportable events as defined in Item 304(a)(2)(i) and (ii)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Fees and Non-Audit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aggregate fees billed by our current and prior independent registered public accounting firms for professional services rendered during the fiscal years ended December 31, 2025 and 2024:</w:t>
      </w:r>
    </w:p>
    <w:tbl>
      <w:tblPr>
        <w:tblW w:w="4767" w:type="dxa"/>
        <w:jc w:val="left"/>
        <w:tblInd w:w="0" w:type="dxa"/>
        <w:tblLayout w:type="fixed"/>
        <w:tblCellMar>
          <w:top w:w="0" w:type="dxa"/>
          <w:left w:w="0" w:type="dxa"/>
          <w:bottom w:w="0" w:type="dxa"/>
          <w:right w:w="0" w:type="dxa"/>
        </w:tblCellMar>
      </w:tblPr>
      <w:tblGrid>
        <w:gridCol w:w="1966"/>
        <w:gridCol w:w="146"/>
        <w:gridCol w:w="286"/>
        <w:gridCol w:w="946"/>
        <w:gridCol w:w="146"/>
        <w:gridCol w:w="286"/>
        <w:gridCol w:w="991"/>
      </w:tblGrid>
      <w:tr>
        <w:trPr/>
        <w:tc>
          <w:tcPr>
            <w:tcW w:w="19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Types of Fees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588,607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645,289</w:t>
            </w:r>
          </w:p>
        </w:tc>
      </w:tr>
      <w:tr>
        <w:trPr/>
        <w:tc>
          <w:tcPr>
            <w:tcW w:w="19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67,155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133,875</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Fees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655,762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779,164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table above, “Audit Fees” are fees we paid to our current and prior independent registered public accounting firms for professional services rendered connection with the audit of our consolidated financial statements,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our current and prior independent registered public accounting firms for assurance and related services that are reasonably related to the performance of the audit or review of our financial statements (accounting consultations on transaction related matters including work related to our registration statements); and “Tax Fees” are fees billed by our current and prior independent registered public accounting firms either for corporate income tax return preparation and filing services and/or individual expatriate income tax services and advice.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Policy on Audit Committee Pre-Approval of Audit and Non-Audit Services of Independent Auditor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non-audit services unless the service is specifically approved in advance by the Audit Committee or the engagement is entered into pursuant to pre-approval procedures. 100% of the audit services, or audit-related services, were pre-approved by the Audit Committee.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considers whether the provisions of these services are compatible with maintaining the auditor’s independence, and it determined such services for 2025 and 2024 were compatible.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509"/>
      <w:bookmarkEnd w:id="10"/>
      <w:r>
        <w:rPr>
          <w:rFonts w:ascii="Times New Roman PS Std;serif" w:hAnsi="Times New Roman PS Std;serif"/>
          <w:b/>
          <w:i w:val="false"/>
          <w:caps w:val="false"/>
          <w:smallCaps w:val="false"/>
          <w:sz w:val="20"/>
        </w:rPr>
        <w:t xml:space="preserve">ITEM 3 — APPROVAL OF AMENDMENT TO THE 2022 OMNIBUS EQUITY INCENTIVE PLAN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proposing that our stockholders approve the amendment of the RYTHM, Inc. 2022 Omnibus Equity Incentive Plan (as amended, the “2022 Omnibus Plan” and such amendment, the “Plan Amendment”) to increase by 115,000 shares the number of authorized shares of Common Stock available for issuance under the 2022 Omnibus Plan. Our Board of Directors believes that our continued growth and success depends, in large part, on our ability to maintain a competitive position by attracting, retaining and motivating key employees, officers, consultants and directors with experience and ability, which is vital to our future success, and to align our employees’, officers’ consultants’ and directors’ compensation with building shareholder value. Our 2022 Omnibus Plan is an integral part of this strategy. We currently have 135,065 shares available for future awards under our 2022 Omnibus Plan, thus potentially impairing our ability to attract and retain and motivate key employees, officers, consultants and directors through the grant of stock-based awards. The 2022 Omnibus Plan is designed to attract, motivate and retain employees, officers, directors and consultants and to further our growth and financial success by aligning the interests of those persons through ownership with the interests of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2022 Omnibus Plan currently authorizes the grant of stock options and other stock-based awards to our officers, employees, non-employee directors and consultants. On April 23, 2026, the Board of Directors approved the Plan Amendment, subject to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believes that the proposed amendment of the 2022 Omnibus Plan is in the best interests of, and will provide long-term advantages to, us and our stockholders and recommends the approval by our stockholders of the Plan Amendment. Stock options and other stock-based incentive awards are given to our employees, officers, directors and consultants upon whose judgment, initiative and efforts we largely depend for the successful conduct of our business. These incentives provide our employees, officers, consultants and directors with a pecuniary interest in our Company, thereby stimulating their commitment on our behalf and strengthening their desire to remain with us. Our Board of Directors anticipates that this direct stake in our future success also assures a closer alignment of the interests of employees with those of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cannot increase the amount of shares of Common Stock available for issuance pursuant to the Plan Amendment, it could have a negative impact on our ability to retain and attract employees, officers, consultants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we are seeking stockholder approval of the Plan Amendment. In the event that the Plan Amendment is not approved by stockholders, the 2022 Omnibus Plan will continue in effect without the amendment described above. We have not approved any awards that are contingent upon stockholder approval of the Plan Amendment. Future grants under the 2022 Omnibus Plan, as proposed to be amended, will be made at the discretion of the Compensation Committee and, therefore, are not determinable at this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April 20, 2026: (i) 135,065 shares of our Common Stock remained available for future awards under the 2022 Omnibus Plan, (ii) 75 shares of our Common Stock were subject to outstanding options under the 2022 Omnibus Plan (with the outstanding options having a weighted average exercise price of $26,991 per share and a weighted average term to scheduled expiration of 4.68 years), and (iii) 126,750 shares of our Common Stock were subject to unvested restricted stock units. During the fiscal year ended December 31, 2025, our Board of Directors did not approve any option grants and approved the grant of 129,250 restricted stock units under the 2022 Omnibus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solely on the closing price of our Common Stock as reported on The Nasdaq Capital Market on April 20, 2026, the maximum aggregate market value of the 115,000 additional shares that could potentially be issued under the 2022 Omnibus Plan, assuming the Plan Amendment is approved, is approximately $3,111,900. The shares available for issuance by us under the 2022 Omnibus Plan will be authorized but unissued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 Omnibus Plan Highlights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key features of the 2022 Omnibus Plan, as proposed to be amended by the Plan Amendment, that reflect RYTHM’s commitment to effective management of incentive compensation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Plan Limits.    </w:t>
      </w:r>
      <w:r>
        <w:rPr>
          <w:rFonts w:ascii="Times New Roman PS Std;serif" w:hAnsi="Times New Roman PS Std;serif"/>
          <w:b w:val="false"/>
          <w:i w:val="false"/>
          <w:caps w:val="false"/>
          <w:smallCaps w:val="false"/>
          <w:sz w:val="20"/>
        </w:rPr>
        <w:t>Total awards under the 2022 Omnibus Plan in general are limited to a maximum of 549,000 authorized shares of Common Stock, </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the number of shares of Common Stock underlying any award granted under the RYTHM, Inc. 2020 Omnibus Equity Incentive Plan (the “2020 Omnibus Plan”) that expires, terminates or is canceled or forfeited under the terms of the 2020 Omnibus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Liberal Share Recycling on Stock Options or SARs.    </w:t>
      </w:r>
      <w:r>
        <w:rPr>
          <w:rFonts w:ascii="Times New Roman PS Std;serif" w:hAnsi="Times New Roman PS Std;serif"/>
          <w:b w:val="false"/>
          <w:i w:val="false"/>
          <w:caps w:val="false"/>
          <w:smallCaps w:val="false"/>
          <w:sz w:val="20"/>
        </w:rPr>
        <w:t>The 2022 Omnibus Plan provides that only shares covering awards that are canceled, forfeited or terminated without issuance of the full number of shares of Common Stock to which the award is related will again be available for issuance under the 2022 Omnibus Plan. The following shares will not be added back to the aggregate plan limit: (i) shares tendered in payment of the exercise price for an option, (ii) shares we withhold to satisfy tax withholding obligations (other than with respect to Restricted Stock, Restricted Stock Unit awards or Performance Share Awards), and (iii) stock appreciation rights (“SARs”) that are settled in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Repricing or Cash Buyouts.    </w:t>
      </w:r>
      <w:r>
        <w:rPr>
          <w:rFonts w:ascii="Times New Roman PS Std;serif" w:hAnsi="Times New Roman PS Std;serif"/>
          <w:b w:val="false"/>
          <w:i w:val="false"/>
          <w:caps w:val="false"/>
          <w:smallCaps w:val="false"/>
          <w:sz w:val="20"/>
        </w:rPr>
        <w:t>Stock option and SAR repricing (including reducing the exercise price of stock options or replacing an award with cash or another award type) is prohibited without stockholder approval under the 2022 Omnibus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Dividends on Unvested Restricted Shares or RSUs.    </w:t>
      </w:r>
      <w:r>
        <w:rPr>
          <w:rFonts w:ascii="Times New Roman PS Std;serif" w:hAnsi="Times New Roman PS Std;serif"/>
          <w:b w:val="false"/>
          <w:i w:val="false"/>
          <w:caps w:val="false"/>
          <w:smallCaps w:val="false"/>
          <w:sz w:val="20"/>
        </w:rPr>
        <w:t>Under the 2022 Omnibus Plan, holders of unvested Restricted Stock or Restricted Stock Units will not have any rights to receive dividends with respect to such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Minimum Vesting Period.    </w:t>
      </w:r>
      <w:r>
        <w:rPr>
          <w:rFonts w:ascii="Times New Roman PS Std;serif" w:hAnsi="Times New Roman PS Std;serif"/>
          <w:b w:val="false"/>
          <w:i w:val="false"/>
          <w:caps w:val="false"/>
          <w:smallCaps w:val="false"/>
          <w:sz w:val="20"/>
        </w:rPr>
        <w:t>Generally, all awards will have a minimum vesting period of at least one year, subject to an exception of 5% of the aggregate shares authorized for grant under the 2022 Omnibus Plan, awards to directors, and certain other limited exceptions as described below and in the 2022 Omnibus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Awards Subject to Forfeiture or Clawback.    </w:t>
      </w:r>
      <w:r>
        <w:rPr>
          <w:rFonts w:ascii="Times New Roman PS Std;serif" w:hAnsi="Times New Roman PS Std;serif"/>
          <w:b w:val="false"/>
          <w:i w:val="false"/>
          <w:caps w:val="false"/>
          <w:smallCaps w:val="false"/>
          <w:sz w:val="20"/>
        </w:rPr>
        <w:t>Awards under the 2022 Omnibus Plan will be subject to clawback in certain circumstances as well as any other forfeiture and penalty conditions determined by the Compensation Committee in the Company’s Clawback Policy.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Automatic “Single Trigger” Vesting.    </w:t>
      </w:r>
      <w:r>
        <w:rPr>
          <w:rFonts w:ascii="Times New Roman PS Std;serif" w:hAnsi="Times New Roman PS Std;serif"/>
          <w:b w:val="false"/>
          <w:i w:val="false"/>
          <w:caps w:val="false"/>
          <w:smallCaps w:val="false"/>
          <w:sz w:val="20"/>
        </w:rPr>
        <w:t>The 2022 Omnibus Plan does not contain an automatic single-trigger vesting provision that would accelerate awards solely upon a change-in-control (as defined in the 2022 Omnibus Plan).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2022 Omnibus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the provisions of the 2022 Omnibus Plan, as proposed to be amended by the Plan Amendment, is set forth below. This summary is qualified in its entirety by the detailed provisions of the amended 2022 Omnibus Plan. A copy of the 2022 Omnibus Plan, with the proposed amendments marked, has been filed with the Securities and Exchange Commission with this proxy statement and is attached hereto as Appendix A. Any stockholder who wishes to obtain a printed copy of the 2022 Omnibus Plan may do so by written request to the Secretary at our principal executive offices set forth above.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2022 Omnibus Plan will be administered by a committee (the “Plan Committee”), which shall consist of two (2) or more members of our Board appointed by our Board or such other committee of our Board to which it has properly delegated power, or if no such Plan Committee or subcommittee exists, our Board. To the extent required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applicable law, rule, or regulation, it is intended that each member of the Plan Committee shall qualify as (a) a “non-employee director” under Rule 16b-3, and (b) an “independent director” under the rules of any national securities exchange or national securities association,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Committee is authorized to, among other things: (a) interpret, administer, reconcile any inconsistency in, correct any defect in and/or supply any omission in the 2022 Omnibus Plan and any instrument or agreement relating to, or any award granted under, the 2022 Omnibus Plan (each, an “Award”); (b) promulgate, amend, and rescind any rules and regulations relating to the 2022 Omnibus Plan; (c) adopt sub-plans; and (d) to make any other determination and take any other action that the Plan Committee deems necessary or desirable for the administration of the 2022 Omnibus Plan. Except to the extent prohibited by applicable law regulations, the Plan Committee may allocate all or any portion of its responsibilities and powers to any one (1) or more of its members and may delegate all or any part of its responsibilities and powers to any person or persons selected by it in accordance with the terms of the 2022 Omnibus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expressly provided in the 2022 Omnibus Plan, all determinations, interpretations and other decisions under or with respect to the 2022 Omnibus Plan or any Award or any documents evidencing Awards granted pursuant to the 2022 Omnibus Plan are within the sole discretion of the Plan Committee, may be made at any time and are final, conclusive, and binding upon all persons or entities, including, without limitation, RYTHM, any Participant, any holder or beneficiary of any Award, and any of our stockholders. The Plan Committee may make grants of the following Awards to Eligible Persons (defined below) pursuant to terms and conditions set forth in the applicable Award Agreement, including, subjecting such Awards to performance goals listed in the 2022 Omnibus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 Option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 Appreciation Right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Restricted Stock and Restricted Stock Unit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Share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Stock-Based Awards and Cash-Based Awards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Eligible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aggregate number of shares of Common Stock that may be issued or used for reference purposes or with respect to which Awards may be granted under the 2022 Omnibus Plan will be equal to (a) 549,000 shares of Common Stock, </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(b) the number of shares of Common Stock underlying any award granted under the 2020 Omnibus Equity Incentive Plan that expires, terminates or is canceled or forfeited under the terms of the 2020 Omnibus Plan. The maximum number of shares of Common Stock with respect to which incentive stock options may be granted under the Plan shall be equal to the maximum number of shares issuable under the 2022 Omnibus Plan. If any Option, Stock Appreciation Right, or Other Stock-Based Awards granted under the Plan expires, terminates, or is canceled for any reason without having been exercised in full, the number of shares of Common Stock underlying any unexercised Award shall again be available for the purpose of Awards under the Plan. If any shares of Restricted Stock, Performance Share Awards, or Other Stock-Based Awards denominated in shares of Common Stock awarded under the Plan to a Participant are forfeited for any reason, the number of forfeited shares of Restricted Stock, Performance Share Awards, or Other Stock-Based Awards denominated in shares of Common Stock shall again be available for purposes of Awards under the Plan. Shares of Common Stock subject to an Award shall not again be made available for issuance or delivery under the Plan if such shares are (a) shares tendered in payment of an Option, (b) shares delivered or withheld by RYTHM to satisfy any tax withholding obligation (other than with respect to Restricted Stock, Restricted Stock Units and Performance Share Awards, in which case such shares will again be available for issuance), or (c) shares covered by a stock-settled Stock Appreciation Right or other Awards that were not issued upon the settlement of the Award. Any Award under the Plan settled in cash shall not be counted against the foregoing maximum share limitations. No shares have yet been issued nor Awards granted under the 2022 Omnibus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Eligible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employee of RYTHM or any of its affiliates, any director, or person who is a consultant to RYTHM, or any individuals designated by the Plan Committee who are reasonably expected to become employees, consultants, or directors after the receipt of Awards (each, an “Eligible Person”) shall be permitted to participate (a “Participant”)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2022 Omnibus Plan. Only Eligible Persons who are also employees of RYTHM or its affiliates are eligible to receive incentive stock options under the 2022 Omnibus Plan. Eligibility for the grant of an incentive stock option and actual participation in the 2022 Omnibus Plan shall be determined by the Plan Committee in its sole discretion.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of an option will be entitled to purchase a number of our shares of Common Stock at a specified exercise price during a specified time period, all as determined by the Compensation Committee. The Plan Committee may grant non-qualified stock options and incentive stock options (“Options”) to Eligible Persons. All Options granted under the 2022 Omnibus Plan are required to have a per share exercise price that is not less than one hundred percent (100%) of the fair market value of RYTHM’s Common Stock underlying such stock options on the date such Options are granted (other than in the case of Options that are substitute Awards). The maximum term for Options granted under the 2022 Omnibus Plan will be ten (10) years from the initial date of grant. The purchase price for the shares as to which an Option is exercised may be paid, to the extent permitted by law, either (a) in cash or by certified or bank check at the time the Option is exercised or (b) in the discretion of the Plan Committee, upon such terms as the Plan Committee shall approve, including: (i) by delivery to RYTHM of other Common Stock, duly endorsed for transfer to RYTHM,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Plan Committee.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 Appreciation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Committee may grant Stock Appreciation Rights under the 2022 Omnibus Plan, with terms and conditions determined by the Committee that are not inconsistent with the 2022 Omnibus Plan. The Plan Committee may award Stock Appreciation Rights in tandem with Options or independent of any Option. Generally, each Stock Appreciation Right will entitle the participant upon exercise to an amount (in cash, shares, or a combination of cash and shares, as determined by the Plan Committee) equal to the product of (i) the excess of (A) the fair market value on the exercise date of one share of Common Stock, over (B) the exercise price per share, multiplied by (ii) the number of shares of Common Stock covered by the Stock Appreciation Right. The exercise price per share of a Stock Appreciation Right will be determined by the Plan Committee at the time of grant, but in no event may such amount be less than one hundred percent (100%) of the fair market value of a share of Common Stock on the date the Stock Appreciation Right is granted.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Restricted Stock and 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Committee may grant restricted shares of our Common Stock (“Restricted Stock”) or restricted stock units (“Restricted Stock Units”), representing the right to receive, upon vesting and the expiration of any applicable restricted period, one (1) share of Common Stock for each Restricted Stock Unit or, in the sole discretion of the Plan Committee, the cash value thereof (or any combination thereof). As to Restricted Stock, subject to the other provisions of the 2022 Omnibus Plan, the holder will generally have the rights and privileges of a stockholder as to such Restricted Stock, including, without limitation, the right to vote such Restricted Stock, but the holder will not have the right to receive dividends on any unvested shares of Restricted Stock. Participants have no rights or privileges as a stockholder with respect to Restricted Stock Units.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Performance Share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Committee may grant Performance Share Awards to a Participant payable upon the attainment of specific performance goals. Each Performance Share Award shall be evidenced by an Award Agreement in such form that is not inconsistent with the 2022 Omnibus Plan and that the Plan Committee may from time to time approve.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Equity-Based and Cash-Based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Committee may grant other equity-based or cash-based Awards under the 2022 Omnibus Plan, with terms and conditions determined by the Plan Committee that are not inconsistent with the 2022 Omnibus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of Certain Corporate Transactions and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2022 Omnibus Plan and any Award Agreements, the exercise price of options and SARs, the performance goals to which Performance Share Award and cash-based awards are subject,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any Change in Control of RYTHM (as such term is defined in the 2022 Omnibus Plan, a “Change in Control”), the Plan Committee may, in its sole discretion,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the applicable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Plan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Plan Committee deems necessary or appropriate to reflect such transaction or change.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Plan Committee may determine, in its sole discretion, that a non-qualified stock option may be transferred to a family member, or to certain trusts or foundations or other transferees as permitted by the Plan Committee (“Permitted Transferee”). A non-qualified stock option that is transferred to a Permitted Transferee will remain subject to the terms of the 2022 Omnibus Plan and the applicable Award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Minimum Vesting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award will be granted with a lapse of any vesting obligations earlier than at least one year following the date of grant. Notwithstanding the foregoing, the Plan Committee may grant up to a maximum of five percent of the aggregate number of shares available for issuance under the 2022 Omnibus Plan (subject to certain equitable adjustments), without regard to this minimum vesting requirement, and the minimum vesting requirement does not apply to (i) any substitute awards (as defined in the plan), (ii) shares delivered in lieu of fully vested cash awards, (iii) awards to directors, and (iv) the Plan Committee’s discretion to provide for accelerated exercisability or vesting of any award, including in cases of retirement, death, disability or a change-in-control, in the terms of the award or otherwise.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Clawback and Recoupment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Awards under the 2022 Omnibus Plan will be subject to recovery or “clawback” by us if and to the extent that the vesting of such awards was determined or calculated based on materially inaccurate financial statements or any other material inaccurate performance metric criteria, and if the Company or any of its subsidiaries terminate a participant’s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relationship due to the grantee’s gross negligence or willful misconduct, which conduct, directly or indirectly, results in the Company preparing an accounting restatement. Awards will also be subject to our clawback policy as adopted by the Board of Directors.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may amend the 2022 Omnibus Plan at any time, subject to shareholder approval to the extent required by applicable law or regulation or the listing standards of Nasdaq or any other market or stock exchange on which the Common Stock is at the time primarily traded. Additionally, shareholder approval will be specifically required to decrease the exercise price of any outstanding Option or SAR granted under the 2022 Omnibus Plan. Our Board may terminate the 2022 Omnibus Plan at any time. Unless sooner terminated by our Board, the 2022 Omnibus Plan will terminate on the ten (10) year anniversary of Board approval of the 2022 Omnibus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Section 162(m) of the Internal Revenue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general rule, we will be entitled to a deduction in the same amount and at the same time as the compensation income is received by the participant, except to the extent the deduction limits of 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awards under the 2022 Omnibus Plan may cause this limitation to be exceeded in any particular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Federal Income 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provides a summary of the federal income tax (and to some extent, estate tax) consequences that would accrue to RYTHM and the grantee under current tax laws. Such laws and their interpretation by the Internal Revenue Service are subject to change. The general consequences described in this summary may not apply in unusual situations.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Non-Qualified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Options.    </w:t>
      </w:r>
      <w:r>
        <w:rPr>
          <w:rFonts w:ascii="Times New Roman PS Std;serif" w:hAnsi="Times New Roman PS Std;serif"/>
          <w:b w:val="false"/>
          <w:i w:val="false"/>
          <w:caps w:val="false"/>
          <w:smallCaps w:val="false"/>
          <w:sz w:val="20"/>
        </w:rPr>
        <w:t>The grant of an Option will not be a taxable event for the grantee or RYTHM. Upon exercising a non-qualified stock option, a grantee will recognize ordinary income in an amount equal to the difference between the exercise price and the fair market value of the Common Stock on the date of exercise. Upon a subsequent sale or exchange of shares acquired pursuant to the exercise of a non-qualified stock option, the grantee will recognize taxable capital gain or loss, measured by the excess of the amount realized on the disposition over the tax basis of the shares of Common Stock (generally, the amount paid for the shares plus the amount treated as ordinary income at the time the option was exercised).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comply with applicable reporting requirements and with the restrictions of Section 162(m), we will be entitled to a business expense deduction in the same amount and generally at the same time as the grantee recognizes ordinary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grantee who has transferred a non-qualified stock option to a family member by gift will realize taxable income at the time the non-qualified stock option is exercised by the family member. The grantee will be subject to withholding of income and employment taxes at that time. The family member’s tax basis in the shares of Common Stock will be the fair market value of the shares of Common Stock on the date the option is exercised. The transfer of vested non-qualified stock options will be treated as a completed gift for gift and estate tax purposes. Once the gift is completed, neither the transferred Options nor the shares acquired on exercise of the transferred Options will be includable in the grantee’s estate for estate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Incentive Stock Options.    </w:t>
      </w:r>
      <w:r>
        <w:rPr>
          <w:rFonts w:ascii="Times New Roman PS Std;serif" w:hAnsi="Times New Roman PS Std;serif"/>
          <w:b w:val="false"/>
          <w:i w:val="false"/>
          <w:caps w:val="false"/>
          <w:smallCaps w:val="false"/>
          <w:sz w:val="20"/>
        </w:rPr>
        <w:t>The grant of an Option will not be a taxable event for the grantee or for RYTHM. A grantee will not recognize taxable 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exercise of an Option to qualify for the foregoing tax treatment, the grantee generally must be our employee or an employee of our subsidiary from the date the Option is granted through a date within three months before the date of exercise of the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 subject to our compliance with Section 162(m) and to certain reporting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w:t>
      </w:r>
      <w:r>
        <w:rPr>
          <w:rFonts w:ascii="Times New Roman PS Std;serif" w:hAnsi="Times New Roman PS Std;serif"/>
          <w:b w:val="false"/>
          <w:i w:val="false"/>
          <w:caps w:val="false"/>
          <w:smallCaps w:val="false"/>
          <w:sz w:val="20"/>
        </w:rPr>
        <w:t>A grantee who is awarded Restricted Stock will not recognize any taxable income for federal income tax purposes in the year of the Award, provided that the shares of Common Stock are subject to restrictions (that is, the Restricted Stock is nontransferable and subject to a substantial risk of forfeiture). However, the grantee may elect under Section 83(b) of the Code to recognize compensation income in the year of the Award in an amount equal to the fair market value of the Common Stock on the date of the Award (less the purchase price, if any), determined without regard to the restrictions (except any restrictions that will never lapse). If the grantee does not make such a Section 83(b) election,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If we comply with applicable reporting requirements and with the restrictions of Section 162(m), we will be entitled to a business expense deduction in the same amount and generally at the same time as the grantee recognizes ordinary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Units.    </w:t>
      </w:r>
      <w:r>
        <w:rPr>
          <w:rFonts w:ascii="Times New Roman PS Std;serif" w:hAnsi="Times New Roman PS Std;serif"/>
          <w:b w:val="false"/>
          <w:i w:val="false"/>
          <w:caps w:val="false"/>
          <w:smallCaps w:val="false"/>
          <w:sz w:val="20"/>
        </w:rPr>
        <w:t>There are no immediate tax consequences of receiving an award of Restricted Stock Units under the 2022 Omnibus Plan. A grantee who is awarded Restricted Stock Units will recognize ordinary income in an amount equal to the fair market value of shares issued to such grantee at the end of the restriction period or, if later, the payment date. If we comply with applicable reporting requirements and with the restrictions of Section 162(m), we will be entitled to a business expense deduction in the same amount and generally at the same time as the grantee recognizes ordinary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Appreciation Rights.    </w:t>
      </w:r>
      <w:r>
        <w:rPr>
          <w:rFonts w:ascii="Times New Roman PS Std;serif" w:hAnsi="Times New Roman PS Std;serif"/>
          <w:b w:val="false"/>
          <w:i w:val="false"/>
          <w:caps w:val="false"/>
          <w:smallCaps w:val="false"/>
          <w:sz w:val="20"/>
        </w:rPr>
        <w:t>There are no immediate tax consequences of receiving an award of SARs under the 2022 Omnibus Plan. Upon exercising an SAR, a grantee will recognize ordinary income in an amount equal to the difference between the exercise price and the fair market value of the Common Stock on the date of exercise. If we comply with applicable reporting requirements and with the restrictions of Section 162(m), we will be entitled to a business expense deduction in the same amount and generally at the same time as the grantee recognizes ordinary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Performance Share Awards, Other Stock-Based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Awards, and Cash-Based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Awards.    </w:t>
      </w:r>
      <w:r>
        <w:rPr>
          <w:rFonts w:ascii="Times New Roman PS Std;serif" w:hAnsi="Times New Roman PS Std;serif"/>
          <w:b w:val="false"/>
          <w:i w:val="false"/>
          <w:caps w:val="false"/>
          <w:smallCaps w:val="false"/>
          <w:sz w:val="20"/>
        </w:rPr>
        <w:t>The tax treatment with respect to Performance Share Awards, other stock-based awards and cash-based awards will depend on the structure of such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Section 409A.    </w:t>
      </w:r>
      <w:r>
        <w:rPr>
          <w:rFonts w:ascii="Times New Roman PS Std;serif" w:hAnsi="Times New Roman PS Std;serif"/>
          <w:b w:val="false"/>
          <w:i w:val="false"/>
          <w:caps w:val="false"/>
          <w:smallCaps w:val="false"/>
          <w:sz w:val="20"/>
        </w:rPr>
        <w:t>We intend for awards granted under the plan to comply with Section 409A of the Internal Revenue Code. To the extent a grantee would be subject to the additional 20% tax imposed on certain nonqualified deferred compensation plans as a result of a provision of an award under the plan, the provision will be deemed amended to the minimum extent necessary to avoid application of the 20% additional tax.</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Plan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grants have been issued with respect to the additional shares to be reserved for issuance under the 2022 Omnibus Plan. The number of shares that may be granted to our Chief Executive Officer, executive officers, non-employee directors (other than the automatically granted awards) and non-executive officers under the 2022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Omnibus Plan is not determinable at this time, as such grants are subject to the discretion of the Compensation Committee. Information about the restricted stock units granted to non-employee directors can be found herein under the heading “Compensation of Outside Directors.” The following table provides information with respect to the number of shares granted under the 2022 Omnibus Plan for the fiscal year ended December 31, 2025 to our current executive officers, directors who are not executive officers, and employees during that period. Information about the number of shares granted to our named executive officers can be found herein under the heading “Outstanding Equity Awards at Fiscal Year End.”</w:t>
      </w:r>
    </w:p>
    <w:tbl>
      <w:tblPr>
        <w:tblW w:w="9656" w:type="dxa"/>
        <w:jc w:val="left"/>
        <w:tblInd w:w="0" w:type="dxa"/>
        <w:tblLayout w:type="fixed"/>
        <w:tblCellMar>
          <w:top w:w="0" w:type="dxa"/>
          <w:left w:w="0" w:type="dxa"/>
          <w:bottom w:w="0" w:type="dxa"/>
          <w:right w:w="0" w:type="dxa"/>
        </w:tblCellMar>
      </w:tblPr>
      <w:tblGrid>
        <w:gridCol w:w="6391"/>
        <w:gridCol w:w="146"/>
        <w:gridCol w:w="301"/>
        <w:gridCol w:w="1261"/>
        <w:gridCol w:w="146"/>
        <w:gridCol w:w="1411"/>
      </w:tblGrid>
      <w:tr>
        <w:trPr/>
        <w:tc>
          <w:tcPr>
            <w:tcW w:w="6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Position</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Value </w:t>
              <w:b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Underlying </w:t>
              <w:br/>
              <w:t>Awards</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 – </w:t>
            </w:r>
            <w:r>
              <w:rPr>
                <w:rFonts w:ascii="Times New Roman PS Std;serif" w:hAnsi="Times New Roman PS Std;serif"/>
                <w:b w:val="false"/>
                <w:i/>
                <w:caps w:val="false"/>
                <w:smallCaps w:val="false"/>
                <w:sz w:val="20"/>
              </w:rPr>
              <w:t>Chairman and Interim Chief Executive Officer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591,963</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14,375</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Asher – </w:t>
            </w:r>
            <w:r>
              <w:rPr>
                <w:rFonts w:ascii="Times New Roman PS Std;serif" w:hAnsi="Times New Roman PS Std;serif"/>
                <w:b w:val="false"/>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247,080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executive officers as a group</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839,043</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20,375</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who are not executive officers, as a group</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895,075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32,500</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as a group (excluding executive officers)(1)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1,734,118</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52,875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addition, as of December 31, 2025, awards representing 76,375 underlying shares with a dollar value of $3,151,843 as of December 31, 2025, granted to employees of VMS who provide services to the Company under the Services Agreement, (defined below under “Related Party Transactions”), were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 is hereby made to the “Equity Compensation Plan Table” of this Proxy Statement which is incorporated by reference into this Item 3 and provides certain details on our current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present, the affirmative vote of a majority of the votes cast on the matter will be required to approve the proposed amendment to the 2022 Omnibus Plan to increase the number of shares available for issuance thereunder by 115,000. Broker non-votes and abstentions will have no effect on the outcome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of Directors recommends that you vote “FOR” the approval of the amendment to the 2022 Omnibus Plan to increase the number of shares available for issuance thereunder by 115,000.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510"/>
      <w:bookmarkEnd w:id="11"/>
      <w:r>
        <w:rPr>
          <w:rFonts w:ascii="Times New Roman PS Std;serif" w:hAnsi="Times New Roman PS Std;serif"/>
          <w:b/>
          <w:i w:val="false"/>
          <w:caps w:val="false"/>
          <w:smallCaps w:val="false"/>
          <w:sz w:val="20"/>
        </w:rPr>
        <w:t xml:space="preserve">EXPENSES OF SOLICITATION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entire expense of soliciting proxies for the Annual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511"/>
      <w:bookmarkEnd w:id="12"/>
      <w:r>
        <w:rPr>
          <w:rFonts w:ascii="Times New Roman PS Std;serif" w:hAnsi="Times New Roman PS Std;serif"/>
          <w:b/>
          <w:i w:val="false"/>
          <w:caps w:val="false"/>
          <w:smallCaps w:val="false"/>
          <w:sz w:val="20"/>
        </w:rPr>
        <w:t xml:space="preserve">CERTAIN RELATIONSHIPS AND RELATED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executive officer or other agent, and otherwise to the full extent permitted under Nevada law and our Amended and Restated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identify and address concerns regarding related party transactions and their disclosures, we use Director and Officer Questionnaires and our conduct and ethics policies. We also consider the independence of our directors. The discussion of the independence of the directors is included under “</w:t>
      </w:r>
      <w:r>
        <w:rPr>
          <w:rFonts w:ascii="Times New Roman PS Std;serif" w:hAnsi="Times New Roman PS Std;serif"/>
          <w:b w:val="false"/>
          <w:i/>
          <w:caps w:val="false"/>
          <w:smallCaps w:val="false"/>
          <w:sz w:val="20"/>
        </w:rPr>
        <w:t>Corporate Governance — Board and Board Committee Matters</w:t>
      </w:r>
      <w:r>
        <w:rPr>
          <w:rFonts w:ascii="Times New Roman PS Std;serif" w:hAnsi="Times New Roman PS Std;serif"/>
          <w:b w:val="false"/>
          <w:i w:val="false"/>
          <w:caps w:val="false"/>
          <w:smallCaps w:val="false"/>
          <w:sz w:val="20"/>
        </w:rPr>
        <w:t>” elsewhere in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Officer Questionnaires are distributed to executive officers and directors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we were or are to be a participant and the amount involved exceeds $120,000, and in which any of the following had or will have a direct or indirect interest: (i) the individual; (ii) any director or executive officer; (iii) a nominee for director; (iv) an immediate family member of a director or executive officer; (v) an immediate family member of a nominee for director; (vi) a security holder of more than 5% of the Common Stock; or (vii) an immediate family member of the security holder. Responses provided within the questionnaire are reviewed by our management to determine any necessary course of 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our policy that all employees, directors and agents maintain the highest ethical standards and comply with all applicable legal requirements when conducting Company business. Guidelines regarding conflicts of interest are detailed in our Code of Conduct and Business Ethics, which was adopted by the Board of Directors and is available on the Company’s website at </w:t>
      </w:r>
      <w:r>
        <w:rPr>
          <w:rFonts w:ascii="Times New Roman PS Std;serif" w:hAnsi="Times New Roman PS Std;serif"/>
          <w:b w:val="false"/>
          <w:i/>
          <w:caps w:val="false"/>
          <w:smallCaps w:val="false"/>
          <w:sz w:val="20"/>
        </w:rPr>
        <w:t>https://ir.rythminc.com</w:t>
      </w:r>
      <w:r>
        <w:rPr>
          <w:rFonts w:ascii="Times New Roman PS Std;serif" w:hAnsi="Times New Roman PS Std;serif"/>
          <w:b w:val="false"/>
          <w:i w:val="false"/>
          <w:caps w:val="false"/>
          <w:smallCaps w:val="false"/>
          <w:sz w:val="20"/>
        </w:rPr>
        <w:t>. All employees must deal with vendors, customers and others doing business with us in a manner that avoids even the appearance of conflict between personal interests and those of our Company. Potential conflicts of interest may arise from any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direct or indirect financial interest in any business or organization that is a vendor or competitor of ours, if the employee or director can influence decisions with respect to our business with respect to such business or organization;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serving on the board of directors of, or being employed in any capacity by, a vendor, competitor or customer of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authorized to review all potential conflicts of interest involving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Relationships, including business, financial, personal, and family, may give rise to conflicts of interest or the appearance of a conflict. Employees should carefully evaluate their relationships as they relate to our business to avoid conflict or the appearance of a conflict. To avoid conflicts of interest or the appearance of a conflict: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Employees and directors should not have an undisclosed relationship with, or financial interest in, any business that competes or deals with us; provided that the ownership of less than 1% of the outstanding shares, units or other interests of any class of publicly traded securities is acceptable.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Employees are prohibited from directly or indirectly competing or performing services for any person or entity in competition with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Employees should comply with the policies set forth in this Code of Conduct and Business Ethics regarding the receipt or giving of gifts, favors or entertainment.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Employees may not sell or lease equipment, materials or property to us without appropriate corporate 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Employees should purchase our equipment, materials or property only on terms available to the general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employee or director who becomes aware of a conflict is required to bring it to the attention of a supervisor, management or other appropriate personnel. Directors are expected and required to uphold the same dedication to corporate ethics as our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conflict of interest arises involving an executive officer or director, the Board of Directors must approve a waiver to the Code of Conduct and Business Ethics and if a director has the conflict, that director must abstain from the approval. Waivers are made on a case-by-case basis. The Board of Directors has not adopted a formal written policy with respect to waiving conflict of interests or approving related party transactions. In making this determination, the Board of Directors considered the infrequency in occurrence of these transactions. Any waivers to the Code of Conduct and Business Ethics granted to an executive officer or director shall be disclosed by us on our website at </w:t>
      </w:r>
      <w:r>
        <w:rPr>
          <w:rFonts w:ascii="Times New Roman PS Std;serif" w:hAnsi="Times New Roman PS Std;serif"/>
          <w:b w:val="false"/>
          <w:i/>
          <w:caps w:val="false"/>
          <w:smallCaps w:val="false"/>
          <w:sz w:val="20"/>
        </w:rPr>
        <w:t>https://ir.rythminc.com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Brand Intellectual Property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20, 2025, we purchased VCP IP Holdings, LLC, an indirect wholly-owned subsidiary of Green Thumb (“VCP”), the assets of which primarily included intellectual property rights to the </w:t>
      </w:r>
      <w:r>
        <w:rPr>
          <w:rFonts w:ascii="Times New Roman PS Std;serif" w:hAnsi="Times New Roman PS Std;serif"/>
          <w:b w:val="false"/>
          <w:i/>
          <w:caps w:val="false"/>
          <w:smallCaps w:val="false"/>
          <w:sz w:val="20"/>
        </w:rPr>
        <w:t>incredibles</w:t>
      </w:r>
      <w:r>
        <w:rPr>
          <w:rFonts w:ascii="Times New Roman PS Std;serif" w:hAnsi="Times New Roman PS Std;serif"/>
          <w:b w:val="false"/>
          <w:i w:val="false"/>
          <w:caps w:val="false"/>
          <w:smallCaps w:val="false"/>
          <w:sz w:val="20"/>
        </w:rPr>
        <w:t xml:space="preserve"> brand, for $5,075,000. Benjamin Kovler, our Chairman and Interim Chief Executive Officer, is the Chairman and Chief Executive Officer of Green Thumb, and Armon Vakili, a member of our Board of Directors, is an employee of Green Thumb. Under the purchase agreement for the transaction, we or VCP can cause VCP to repurchase the acquired property within five years from the date of closing under certain circumstances. The purchase agreement also includes certain restrictions on transfer during the five years following closing and rights of first refusal and first offer in favor of VCP following such five-year period. Immediately following that sale, we and Green Thumb, each through wholly-owned subsidiaries, entered into a licensing agreement granting Green Thumb a license for exclusive use of certain intellectual property rights to use the </w:t>
      </w:r>
      <w:r>
        <w:rPr>
          <w:rFonts w:ascii="Times New Roman PS Std;serif" w:hAnsi="Times New Roman PS Std;serif"/>
          <w:b w:val="false"/>
          <w:i/>
          <w:caps w:val="false"/>
          <w:smallCaps w:val="false"/>
          <w:sz w:val="20"/>
        </w:rPr>
        <w:t>incredibles</w:t>
      </w:r>
      <w:r>
        <w:rPr>
          <w:rFonts w:ascii="Times New Roman PS Std;serif" w:hAnsi="Times New Roman PS Std;serif"/>
          <w:b w:val="false"/>
          <w:i w:val="false"/>
          <w:caps w:val="false"/>
          <w:smallCaps w:val="false"/>
          <w:sz w:val="20"/>
        </w:rPr>
        <w:t xml:space="preserve"> brand in connection with the Green Thumb’s existing business in exchange for a monthly fee, payable in cash, based on sales of products using the licensed intellectual property (the “</w:t>
      </w:r>
      <w:r>
        <w:rPr>
          <w:rFonts w:ascii="Times New Roman PS Std;serif" w:hAnsi="Times New Roman PS Std;serif"/>
          <w:b w:val="false"/>
          <w:i/>
          <w:caps w:val="false"/>
          <w:smallCaps w:val="false"/>
          <w:sz w:val="20"/>
        </w:rPr>
        <w:t>incredibles</w:t>
      </w:r>
      <w:r>
        <w:rPr>
          <w:rFonts w:ascii="Times New Roman PS Std;serif" w:hAnsi="Times New Roman PS Std;serif"/>
          <w:b w:val="false"/>
          <w:i w:val="false"/>
          <w:caps w:val="false"/>
          <w:smallCaps w:val="false"/>
          <w:sz w:val="20"/>
        </w:rPr>
        <w:t xml:space="preserve"> License Agreement”). Also immediately following the sale, we and Green Thumb, each through wholly-owned subsidiaries, entered into license agreements pursuant to which the Green Thumb subsidiaries granted our subsidiaries exclusive licenses to use Green Thumb’s </w:t>
      </w:r>
      <w:r>
        <w:rPr>
          <w:rFonts w:ascii="Times New Roman PS Std;serif" w:hAnsi="Times New Roman PS Std;serif"/>
          <w:b w:val="false"/>
          <w:i/>
          <w:caps w:val="false"/>
          <w:smallCaps w:val="false"/>
          <w:sz w:val="20"/>
        </w:rPr>
        <w:t>Beboe</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RYTHM</w:t>
      </w:r>
      <w:r>
        <w:rPr>
          <w:rFonts w:ascii="Times New Roman PS Std;serif" w:hAnsi="Times New Roman PS Std;serif"/>
          <w:b w:val="false"/>
          <w:i w:val="false"/>
          <w:caps w:val="false"/>
          <w:smallCaps w:val="false"/>
          <w:sz w:val="20"/>
        </w:rPr>
        <w:t xml:space="preserve"> brands in connection with the production, marketing and sale of hemp-derived products in exchange for a monthly license fee based on sales of products using the licensed intellectual property, which license agreements were terminated on August 27,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27, 2025, we purchased VCP23, LLC (“VCP23”), an indirect wholly-owned subsidiary of Green Thumb, the assets of which primarily included intellectual property rights to additional of Green Thumb’s consumer packaged goods brands, including </w:t>
      </w:r>
      <w:r>
        <w:rPr>
          <w:rFonts w:ascii="Times New Roman PS Std;serif" w:hAnsi="Times New Roman PS Std;serif"/>
          <w:b w:val="false"/>
          <w:i/>
          <w:caps w:val="false"/>
          <w:smallCaps w:val="false"/>
          <w:sz w:val="20"/>
        </w:rPr>
        <w:t>RYTHM, Beboe, Dogwalkers, Doctor Solomon’s, &amp;Shine</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Good Green,</w:t>
      </w:r>
      <w:r>
        <w:rPr>
          <w:rFonts w:ascii="Times New Roman PS Std;serif" w:hAnsi="Times New Roman PS Std;serif"/>
          <w:b w:val="false"/>
          <w:i w:val="false"/>
          <w:caps w:val="false"/>
          <w:smallCaps w:val="false"/>
          <w:sz w:val="20"/>
        </w:rPr>
        <w:t xml:space="preserve"> for $50,000,000 (the “CPG Brands”). Under the purchase agreement for the transaction, we or VCP23 can cause VCP23 to repurchase the acquired property within five years from the date of closing upon the occurrence of certain specified circumstances. The purchase agreement also includes rights of first refusal and first offer in favor of VCP23 following closing. Immediately following that sale, we and Green Thumb, each through wholly-owned subsidiaries, entered into a license agreement for Green Thumb’s exclusive use of certain intellectual property rights to use the CPG Brands in connection with Green Thumb’s existing business in exchange for a monthly fee, payable in cash, based on sales of products using the licensed intellectual property (the “CPG Brands License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received payments from subsidiaries of Green Thumb totaling $7.8 million under these license agreements in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Effective April 1, 2026, the applicable subsidiaries of the Company and Green Thumb amended the </w:t>
      </w:r>
      <w:r>
        <w:rPr>
          <w:rFonts w:ascii="Times New Roman PS Std;serif" w:hAnsi="Times New Roman PS Std;serif"/>
          <w:b w:val="false"/>
          <w:i/>
          <w:caps w:val="false"/>
          <w:smallCaps w:val="false"/>
          <w:sz w:val="20"/>
        </w:rPr>
        <w:t>incredibles</w:t>
      </w:r>
      <w:r>
        <w:rPr>
          <w:rFonts w:ascii="Times New Roman PS Std;serif" w:hAnsi="Times New Roman PS Std;serif"/>
          <w:b w:val="false"/>
          <w:i w:val="false"/>
          <w:caps w:val="false"/>
          <w:smallCaps w:val="false"/>
          <w:sz w:val="20"/>
        </w:rPr>
        <w:t xml:space="preserve"> License Agreement and CPG Brands License Agreement to change the fees paid thereunder such that the fees payable to us under the </w:t>
      </w:r>
      <w:r>
        <w:rPr>
          <w:rFonts w:ascii="Times New Roman PS Std;serif" w:hAnsi="Times New Roman PS Std;serif"/>
          <w:b w:val="false"/>
          <w:i/>
          <w:caps w:val="false"/>
          <w:smallCaps w:val="false"/>
          <w:sz w:val="20"/>
        </w:rPr>
        <w:t>incredibles</w:t>
      </w:r>
      <w:r>
        <w:rPr>
          <w:rFonts w:ascii="Times New Roman PS Std;serif" w:hAnsi="Times New Roman PS Std;serif"/>
          <w:b w:val="false"/>
          <w:i w:val="false"/>
          <w:caps w:val="false"/>
          <w:smallCaps w:val="false"/>
          <w:sz w:val="20"/>
        </w:rPr>
        <w:t xml:space="preserve"> License Agreement will consist of an annual cash fee of $6,000,000 payable in monthly installments and under the CPG Brands License Agreement will consist of an annual cash fee of $64,000,000 payable in monthly installments. The annual fees under both agreements will be increased on January 1 of each year during their respective terms, based on two times the published consumer price index changes during the applicable period, subject to a maximum year-over-year increase of 10%.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RSLGH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5, 2024, we issued a secured convertible note (the “November 2024 Note”) to RSLGH, LLC (“RSLGH”), a subsidiary of Green Thumb. The November 2024 Note had an original principal amount of $10 million, which was a secured obligation and ranked senior to all of our indebtedness. The November 2024 Note matured on November 5, 2025 and had a 10.0% annualized interest rate, with interest to be paid on the first calendar day of each September and March while the RLSGH Note was outstanding, in cash. On May 22, 2025, we and RSLGH amended the terms of the November 2024 Note to, among other things, (i) permit RSLGH to elect, subject to any required approvals under Nasdaq listing rules, to receive pre-funded warrants in lieu of shares of Common Stock upon conversion of the November 2024 Note at a conversion price equal to the existing conversion price under the RSLGH Note of $3.158 less the $0.001 exercise price of each pre-funded warrant, and (ii) provide that the November 2024 Note ranks on parity with the May 2025 Note (defined below) and notes issued to other investors at that time. On August 25, 2025, we and RSLGH further amended the November 2024 Note to provide that the November 2024 Note ranks on parity with the August 2025 Note (defined below) and notes issued to other investors at that time. On November 3, 2025, RSLGH elected to convert the November 2024 Note and $175,000 of accrued interest thereon into pre-funded warrants at a conversion price of $3.157 per warrant, convertible into 3,222,997 shares of the Company’s Common Stock at an exercise price of $0.001 per share. The pre-funded warrants are subject to a 49.99% beneficial ownership limitation, with exercise also subject to approval of the Company’s stockholders under the applicable Nasdaq listing rules, to the extent required. Additionally, on September 1, 2025, we issued 11,373 pre-funded warrants to RSLGH as payment of interest pursuant to the November 2024 Note, subject to a 49.99% beneficial ownership limitation with exercise subject to Company stockholder approval under applicable Nasdaq listing rules, to the extent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22, 2025, we issued a Secured Convertible Note to RSLGH with an original principal amount of $27 million (the “May 2025 Note”), bearing interest at 10% per annum. The May 2025 Note may be converted into Common Stock at a conversion price of $23.529 per share or, at the election of RSLGH, into pre-funded warrants at a conversion price of $23.53 per share, subject to certain customary conditions. The May 2025 Note is subject to a 49.99% beneficial ownership limitation, with exercise also subject to approval of the Company’s stockholders under the applicable Nasdaq listing rules, to the extent required. The May 2025 Note will mature on November 22, 2026, with interest to be paid on the first calendar day of each September and March while each Secured Convertible Note is outstanding, in Pre-Funded Warrants, beginning September 1, 2025. On September 1, 2025, we issued 31,772 prefunded warrants to RSLGH as payment of interest pursuant to the May 2025 Note, subject to a 49.99% beneficial ownership limitation and with exercise subject to Company stockholder approval under applicable Nasdaq listing rules, to the extent required. On August 25, 2025, we and RSLGH amended the terms of the May 2025 Note to provide that the May 2025 Note ranks on parity with the August 2025 Note and the November 2025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we issued a secured convertible note to RSLGH with an original principal amount of $45 million (the “August 2025 Note”) to RSLGH. The August 2025 Note is a secured obligation and ranks senior to all of our indebtedness except for the November 2024 Note and the May 2025 Note, as well as other notes issued to other investors at those times, which rank on parity with the August 2025 Note. The August 2025 Note will mature on February 25, 2027 and will accrue interest based on a 10.0% annualized interest rate, with interest to be paid on the first calendar day of each September and March while the August 2025 Note is outstanding beginning on March 1, 2026, in cash, Common Stock, or pre-funded warrants to purchase Common Stock, at the election of the holders. The August 2025 Note is subject to a 49.99% beneficial ownership limitation with exercise subject to Company stockholder approval under the applicable Nasdaq listing rules, to the extent required.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Shared Services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2025, we entered into an Amended and Restated Shared Services Agreement (the “Services Agreement”) with VMS an indirect wholly-owned subsidiary of Green Thumb, a related party. Under the Services Agreement, VMS provides certain administrative, supply chain, operations management, sales and marketing, and technical services to us and our subsidiaries. As consideration for those services, we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us and VMS and to the extent permitted under applicable Nasdaq listing rules, in Common Stock or in pre-funded warrants, with the value per share of Common Stock or pre-funded warrant being equal to $26.68. 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one-year terms unless terminated by either party at least thirty days prior to the end of the applicable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21, 2025, we entered into a Shared Services Agreement (the “CFO Services Agreement” and together with the Services Agreement, the “Services Agreements”)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one-year terms unless terminated by either party at least thirty days prior to the end of the applicable term. As a result of the services provided under the Services Agreements, we do not have any direct employees other than our Interim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VMS assigned its rights to receive any payments made to it under the Services Agreements that are made in Company equity to RSLGH. On October 20, 2025, the Company issued 141,343 pre-funded warrants to RSLGH as payment of amounts due pursuant to the Services Agreements, subject to a 49.99% beneficial ownership limitation and with exercise being subject to Company stockholder approval under applicable Nasdaq listing rules, to the extent required.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Sale of Shares to Chairman and Interim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21, 2024, we completed the private placement to institutional investors and other accredited investors of (i) 203,988 shares of the Common Stock, and (ii) pre-funded warrants to purchase up to an aggregate of 949,515 shares of Common Stock, in a private placement offering. The purchase price for one share of Common Stock was $22.30. Benjamin Kovler, our Chairman and Interim Chief Executive Officer, participated in the private placement to purchase 10,000 shares of Common Stock on the same terms as other investors except for a purchase price of $38.76 per share, pursuant to applicable Nasdaq listing rules.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CP Acquisitions, LLC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CP Acquisitions, LLC (“CP”) is an entity affiliated with and controlled by Raymond Chang, our former Chairman and Chief Executive Officer, and I-Tseng Jenny Chan, a former member of our Board. On January 25, 2024, following stockholder approval at an annual meeting of stockholders on January 8, 2024, we and CP consolidated the outstanding principal and interest due under a junior secured note held by CP and a note CP had purchased from a prior lender into an amended, restated and consolidated note (the “CP Note”), with an outstanding principal amount of approximately $18.9 million at the time of consolidation. The CP Note, among other things, (i) reduces the conversion price to $21.90 per share of Common Stock, (ii) increases the beneficial ownership limitation to 49.99% with respect to any individual or group, provided that CP can assign its right to receive shares upon conversion to Mr. Chang and/or Ms. Chan or their affiliates, in which case the 49.99% beneficial ownership limitation will apply to each of them individually, (iii) extends the maturity date to December 31, 2025, (iv) increases the interest rate from 9% to 10% per annum, (v) increases the default interest from 15% to 18% per annum, and (vi) provides for the payment of interest every six months, or in lieu of cash interest payments, we may issue shares as payments-in-kind at a conversion price equal to the higher of (i) $21.90 or (ii) a 20% discount to our trailing seven-day volume weighted average price as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interest payment. Immediately following the execution of the CP Note, CP immediately elected to convert approximately $3.9 million of outstanding principal into an aggregate of 2,671,633 shares of Common Stock, and assigned its rights to receive such shares to entities affiliated with Mr. Chang and Ms. Chan.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21, 2024, we and CP entered into a further amendment to the CP Note, pursuant to which CP could elect, in lieu of shares of Common Stock issuable upon conversion of the CP Note, to instead receive pre-funded warrants. Immediately following the amendment of the CP Note, CP elected to convert $11.5 million of outstanding principal into pre-funded warrants. In connection with the sale of our cultivation business on December 31, 2024, CP assumed all of our obligations under the 2024 CP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CP Acquisitions, LLC Promissory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14, 2024, we issued a junior secured promissory note (the “2024 CP Note”) to CP. Pursuant to the 2024 CP Note, CP would lend us up to $1.5 million. The 2024 CP Note bore interest at a rate of 10% per annum, would mature in full on July 1, 2025, and could be prepaid without any fee or penalty. The 2024 CP Note was secured by our assets and ranked junior to our existing secured indebtedness. The 2024 CP Note could be converted into Common Stock or, at CP’s election, pre-funded warrants, in each case at a conversion price of $3.9495. In connection with the sale of our cultivation business on December 31, 2024, CP assumed all of our obligations under the 2024 CP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GIC Promissory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25, 2024, we and GIC Acquisitions, LLC (“GIC”), an entity that is owned and managed by Raymond Chang, further amended and restated the unsecured promissory note (the “GIC Note”) that we originally issued on July 12, 2023. Pursuant to this amendment, the principal amount of the GIC Note was increased to $1.0 million and the maturity date extended until June 30, 2024. On May 21, 2024, we and GIC restated the GIC Note to increase the aggregate principal amount to approximately $2.29 million, extended the maturity date to December 31, 2025, and provided that the GIC Note may be converted into Common Stock or, at GIC’s election, pre-funded warrants. Immediately following the execution of the restated GIC Note, GIC elected to convert all of the outstanding principal under the GIC Note into pre-funded warrants.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2024 Sale of Cultivation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31, 2024, we entered into and closed an asset purchase agreement (the “Cultivation Purchase Agreement”) with CP. Under the Cultivation Purchase Agreement, CP acquired assets from us relating to our Vertical Farming Unit business, including the related Agrify total turnkey solution assets and Agrify InsightsTM software solutions. The aggregate consideration received by us for the sale of the cultivation business consisted of the assumption by CP of (i) all of our obligations pursuant secured indebtedness then held by CP with an aggregate amount of principal and accrued interest of approximately $7 million, and (ii) certain other liabilities relating to our former cultivation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512"/>
      <w:bookmarkEnd w:id="13"/>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not aware of any other matter to be presented for action at the Annual Meeting. If any other matter requiring a vote of stockholders should arise, then the proxies (or their substitutes) will vote in accordance with their best judgment.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513"/>
      <w:bookmarkEnd w:id="14"/>
      <w:r>
        <w:rPr>
          <w:rFonts w:ascii="Times New Roman PS Std;serif" w:hAnsi="Times New Roman PS Std;serif"/>
          <w:b/>
          <w:i w:val="false"/>
          <w:caps w:val="false"/>
          <w:smallCaps w:val="false"/>
          <w:sz w:val="20"/>
        </w:rPr>
        <w:t xml:space="preserve">ADVANCE NOTICE PROCEDURES AND STOCKHOLDER PROPOSALS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Advance Notice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business other than director nominations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120 days prior to the first anniversary of the date that the Company’s proxy statement released to shareholders in connection with the previous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 (x) 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 (B)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for stockholders to give timely notice of nominations for directors for inclusion on a universal proxy card in connection with the 2027 Annual Meeting, notice must be submitted by no later than 60 calendar days prior to the anniversary of the previous year’s annual meeting date, except that, if the date of the meeting has changed by more than 30 calendar days from the previous year, then notice must be provided by the later of 60 calendar days prior to the date of the annual meeting or the 10th calendar day following the day on which public announcement of the date of the annual meeting is first made by the Company, and the notice must include the information in the notice required by our Amended and Restated Bylaws and by Rule 14a-19(b)(2) under the Securities Exchange Act of 1934, as amended.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Proposals For 2027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considered for presentation at our 2027 Annual Meeting of Stockholders, inclusion in the proxy statement and on the proxy card, a stockholder proposal must be received at our offices no later than a reasonable time before we begin to print and send proxy materials for such meeting. For stockholder proposals or other business matters that may be raised at the 2027 Annual Meeting of Stockholders, but not included in the proxy statement or on the proxy card that are submitted outside the proposal process identified in the preceding sentence, if we do not receive notice of any such matter that a stockholder wishes to raise at the 2027 Annual Meeting of Stockholders during the period described under “Advance Notice Procedures” above, then no business matters, other than those included in the notice of Annual Meeting for the 2027 Annual Meeting of Stockholders, may properly come before the 2027 Annual Meeting of Stockholders. All proposals and notifications for the 2027 Annual Meeting of Stockholders should be addressed in writing to the attention of the Corporate Secretary, RYTHM, Inc., 2220 Hicks Road, Suite 210, Rolling Meadows, Illinois 60008 and should satisfy the particular requirements of our Amended and Restated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514"/>
      <w:bookmarkEnd w:id="15"/>
      <w:r>
        <w:rPr>
          <w:rFonts w:ascii="Times New Roman PS Std;serif" w:hAnsi="Times New Roman PS Std;serif"/>
          <w:b/>
          <w:i w:val="false"/>
          <w:caps w:val="false"/>
          <w:smallCaps w:val="false"/>
          <w:sz w:val="20"/>
        </w:rPr>
        <w:t xml:space="preserve">ADDITIONAL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Report on Form 10-K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2025 Annual Report on Form 10-K, as amended, accompanies this proxy statement (the “Form 10-K”). The Form 10-K for the year ended December 31, 2025 was filed with the SEC on March 3, 2026. </w:t>
      </w:r>
      <w:r>
        <w:rPr>
          <w:rFonts w:ascii="Times New Roman PS Std;serif" w:hAnsi="Times New Roman PS Std;serif"/>
          <w:b/>
          <w:i w:val="false"/>
          <w:caps w:val="false"/>
          <w:smallCaps w:val="false"/>
          <w:sz w:val="20"/>
        </w:rPr>
        <w:t>We will furnish, upon written request of any stockholder and the payment of an appropriate processing fee, copies of the exhibits to our Annual Report on Form 10-K. Please address all such requests to RYTHM, Inc., 2220 Hicks Road, Suite 210, Rolling Meadows, Illinois 60008, Attention: Corporate Secretary.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Annual Meeting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banks, brokers and other nominee record holders may be participating in the practice of “householding” proxy statements and annual reports. This means that only one copy of such materials may have been sent to multiple stockholders in your household. We will promptly deliver a separate copy of any such document to you if you write or call us at the following address or telephone number: RYTHM, Inc., 2220 Hicks Road, Suite 210, Rolling Meadows, IL 60008, (855) 420-0020, or you can request a copy of any such document by visiting the 2026 Annual Meeting page of our Internet website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If you want to receive separate copies of the annual report or proxy statement in the future, or if you are receiving multiple copies and would like to receive only one copy for your household, you should contact your bank, broker or other nominee record holder, or you may contact us at the above address and telephone number.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w:t>
        <w:br/>
        <w:t>PLEASE SIGN, DATE AND RETURN YOUR PROXY CARD</w:t>
        <w:br/>
        <w:t>OR VOTE BY TELEPHONE OR VOTE THROUGH</w:t>
        <w:br/>
        <w:t>THE INTERNET AS SOON AS POSSIBLE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6" w:name="T515"/>
      <w:bookmarkEnd w:id="16"/>
      <w:r>
        <w:rPr>
          <w:rFonts w:ascii="Times New Roman PS Std;serif" w:hAnsi="Times New Roman PS Std;serif"/>
          <w:b/>
          <w:i w:val="false"/>
          <w:caps w:val="false"/>
          <w:smallCaps w:val="false"/>
          <w:sz w:val="20"/>
        </w:rPr>
        <w:t xml:space="preserve">Appendix A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RYTHM, INC. 2022 OMNIBUS EQUITY INCENTIVE PLAN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(marked to show proposed changes)</w:t>
      </w:r>
    </w:p>
    <w:p>
      <w:pPr>
        <w:pStyle w:val="TextBody"/>
        <w:widowControl/>
        <w:pBdr/>
        <w:bidi w:val="0"/>
        <w:spacing w:before="160" w:after="283"/>
        <w:ind w:left="720" w:right="0" w:hanging="0"/>
        <w:jc w:val="both"/>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val="false"/>
          <w:caps w:val="false"/>
          <w:smallCaps w:val="false"/>
          <w:sz w:val="20"/>
          <w:u w:val="single"/>
        </w:rPr>
        <w:t>Purpose; Eligibility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General Purpose</w:t>
      </w:r>
      <w:r>
        <w:rPr>
          <w:rFonts w:ascii="Times New Roman PS Std;serif" w:hAnsi="Times New Roman PS Std;serif"/>
          <w:b w:val="false"/>
          <w:i w:val="false"/>
          <w:caps w:val="false"/>
          <w:smallCaps w:val="false"/>
          <w:sz w:val="20"/>
        </w:rPr>
        <w:t>. The name of this plan is the RYTHM, Inc. 2022 Omnibus Equity Incentive Plan (the “</w:t>
      </w:r>
      <w:r>
        <w:rPr>
          <w:rFonts w:ascii="Times New Roman PS Std;serif" w:hAnsi="Times New Roman PS Std;serif"/>
          <w:b/>
          <w:i w:val="false"/>
          <w:caps w:val="false"/>
          <w:smallCaps w:val="false"/>
          <w:sz w:val="20"/>
        </w:rPr>
        <w:t>Plan</w:t>
      </w:r>
      <w:r>
        <w:rPr>
          <w:caps w:val="false"/>
          <w:smallCaps w:val="false"/>
        </w:rPr>
        <w:t>”</w:t>
      </w:r>
      <w:r>
        <w:rPr>
          <w:rFonts w:ascii="Times New Roman PS Std;serif" w:hAnsi="Times New Roman PS Std;serif"/>
          <w:b w:val="false"/>
          <w:i w:val="false"/>
          <w:caps w:val="false"/>
          <w:smallCaps w:val="false"/>
          <w:sz w:val="20"/>
        </w:rPr>
        <w:t>). The purposes of the Plan are to (a) enable RYTHM, Inc., a Nevada corporation (the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Eligible Award Recipients</w:t>
      </w:r>
      <w:r>
        <w:rPr>
          <w:rFonts w:ascii="Times New Roman PS Std;serif" w:hAnsi="Times New Roman PS Std;serif"/>
          <w:b w:val="false"/>
          <w:i w:val="false"/>
          <w:caps w:val="false"/>
          <w:smallCaps w:val="false"/>
          <w:sz w:val="20"/>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1.3         </w:t>
      </w:r>
      <w:r>
        <w:rPr>
          <w:rFonts w:ascii="Times New Roman PS Std;serif" w:hAnsi="Times New Roman PS Std;serif"/>
          <w:b w:val="false"/>
          <w:i w:val="false"/>
          <w:caps w:val="false"/>
          <w:smallCaps w:val="false"/>
          <w:sz w:val="20"/>
          <w:u w:val="single"/>
        </w:rPr>
        <w:t>Available Awards</w:t>
      </w:r>
      <w:r>
        <w:rPr>
          <w:rFonts w:ascii="Times New Roman PS Std;serif" w:hAnsi="Times New Roman PS Std;serif"/>
          <w:b w:val="false"/>
          <w:i w:val="false"/>
          <w:caps w:val="false"/>
          <w:smallCaps w:val="false"/>
          <w:sz w:val="20"/>
        </w:rPr>
        <w:t>. Awards that may be granted under the Plan include: (a) Incentive Stock Options, (b) Non-qualified Stock Options, (c) Stock Appreciation Rights, (d) Restricted Awards, (e) Performance Share Awards, (f) Cash Awards, and (g) Other Equity-Based Awards.</w:t>
      </w:r>
    </w:p>
    <w:p>
      <w:pPr>
        <w:pStyle w:val="TextBody"/>
        <w:widowControl/>
        <w:pBdr/>
        <w:bidi w:val="0"/>
        <w:spacing w:before="160" w:after="283"/>
        <w:ind w:left="720" w:right="0" w:hanging="0"/>
        <w:jc w:val="both"/>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Affiliate</w:t>
      </w:r>
      <w:r>
        <w:rPr>
          <w:caps w:val="false"/>
          <w:smallCaps w:val="false"/>
        </w:rPr>
        <w:t xml:space="preserve">” </w:t>
      </w:r>
      <w:r>
        <w:rPr>
          <w:rFonts w:ascii="Times New Roman PS Std;serif" w:hAnsi="Times New Roman PS Std;serif"/>
          <w:b w:val="false"/>
          <w:i w:val="false"/>
          <w:caps w:val="false"/>
          <w:smallCaps w:val="false"/>
          <w:sz w:val="20"/>
        </w:rPr>
        <w:t>means a corporation or other entity that, directly or through one or more intermediaries, controls, is controlled by or is under common control with, the Company.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Applicable Laws</w:t>
      </w:r>
      <w:r>
        <w:rPr>
          <w:caps w:val="false"/>
          <w:smallCaps w:val="false"/>
        </w:rPr>
        <w:t xml:space="preserve">” </w:t>
      </w:r>
      <w:r>
        <w:rPr>
          <w:rFonts w:ascii="Times New Roman PS Std;serif" w:hAnsi="Times New Roman PS Std;serif"/>
          <w:b w:val="false"/>
          <w:i w:val="false"/>
          <w:caps w:val="false"/>
          <w:smallCaps w:val="false"/>
          <w:sz w:val="20"/>
        </w:rPr>
        <w:t>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Award</w:t>
      </w:r>
      <w:r>
        <w:rPr>
          <w:caps w:val="false"/>
          <w:smallCaps w:val="false"/>
        </w:rPr>
        <w:t xml:space="preserve">” </w:t>
      </w:r>
      <w:r>
        <w:rPr>
          <w:rFonts w:ascii="Times New Roman PS Std;serif" w:hAnsi="Times New Roman PS Std;serif"/>
          <w:b w:val="false"/>
          <w:i w:val="false"/>
          <w:caps w:val="false"/>
          <w:smallCaps w:val="false"/>
          <w:sz w:val="20"/>
        </w:rPr>
        <w:t>means any right granted under the Plan, including an Incentive Stock Option, a Non-qualified Stock Option, a Stock Appreciation Right, a Restricted Award, a Performance Share Award, a Cash Award, or an Other Equity-Based Award.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Award Agreement</w:t>
      </w:r>
      <w:r>
        <w:rPr>
          <w:caps w:val="false"/>
          <w:smallCaps w:val="false"/>
        </w:rPr>
        <w:t xml:space="preserve">” </w:t>
      </w:r>
      <w:r>
        <w:rPr>
          <w:rFonts w:ascii="Times New Roman PS Std;serif" w:hAnsi="Times New Roman PS Std;serif"/>
          <w:b w:val="false"/>
          <w:i w:val="false"/>
          <w:caps w:val="false"/>
          <w:smallCaps w:val="false"/>
          <w:sz w:val="20"/>
        </w:rPr>
        <w:t>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Beneficial Owner</w:t>
      </w:r>
      <w:r>
        <w:rPr>
          <w:caps w:val="false"/>
          <w:smallCaps w:val="false"/>
        </w:rPr>
        <w:t xml:space="preserve">” </w:t>
      </w:r>
      <w:r>
        <w:rPr>
          <w:rFonts w:ascii="Times New Roman PS Std;serif" w:hAnsi="Times New Roman PS Std;serif"/>
          <w:b w:val="false"/>
          <w:i w:val="false"/>
          <w:caps w:val="false"/>
          <w:smallCaps w:val="false"/>
          <w:sz w:val="20"/>
        </w:rPr>
        <w:t>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 as constituted at any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Cash Award</w:t>
      </w:r>
      <w:r>
        <w:rPr>
          <w:caps w:val="false"/>
          <w:smallCaps w:val="false"/>
        </w:rPr>
        <w:t xml:space="preserve">” </w:t>
      </w:r>
      <w:r>
        <w:rPr>
          <w:rFonts w:ascii="Times New Roman PS Std;serif" w:hAnsi="Times New Roman PS Std;serif"/>
          <w:b w:val="false"/>
          <w:i w:val="false"/>
          <w:caps w:val="false"/>
          <w:smallCaps w:val="false"/>
          <w:sz w:val="20"/>
        </w:rPr>
        <w:t>means an Award denominated in cash that is granted under Section 10 of the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Cause</w:t>
      </w:r>
      <w:r>
        <w:rPr>
          <w:caps w:val="false"/>
          <w:smallCaps w:val="false"/>
        </w:rPr>
        <w:t xml:space="preserve">”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Employee or Consultant, unless the applicable Award Agreement states otherwise:</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Employee or Consultant is a party to an employment or service agreement with the Company or its Affiliates and such agreement provides for a definition of Cause, the definition contained therein; or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Director, unless the applicable Award Agreement states otherwise, a determination by a majority of the disinterested Board members that the Director has engaged in any of the following:</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malfeasance in office;</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gross misconduct or neglect;</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false or fraudulent misrepresentation inducing the director’s appointment;</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willful conversion of corporate funds; or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repeated failure to participate in Board meetings on a regular basis despite having received proper notice of the meetings in advance.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Committee, in its absolute discretion, shall determine the effect of all matters and questions relating to whether a Participant has been discharged for Cause.</w:t>
      </w:r>
    </w:p>
    <w:p>
      <w:pPr>
        <w:pStyle w:val="TextBody"/>
        <w:widowControl/>
        <w:pBdr/>
        <w:bidi w:val="0"/>
        <w:spacing w:before="160" w:after="283"/>
        <w:ind w:left="1440" w:right="0" w:hanging="0"/>
        <w:jc w:val="both"/>
        <w:rPr/>
      </w:pPr>
      <w:r>
        <w:rPr>
          <w:caps w:val="false"/>
          <w:smallCaps w:val="false"/>
        </w:rPr>
        <w:t>“</w:t>
      </w:r>
      <w:r>
        <w:rPr>
          <w:rFonts w:ascii="Times New Roman PS Std;serif" w:hAnsi="Times New Roman PS Std;serif"/>
          <w:b/>
          <w:i w:val="false"/>
          <w:caps w:val="false"/>
          <w:smallCaps w:val="false"/>
          <w:sz w:val="20"/>
        </w:rPr>
        <w:t>Change in Control</w:t>
      </w:r>
      <w:r>
        <w:rPr>
          <w:caps w:val="false"/>
          <w:smallCaps w:val="false"/>
        </w:rPr>
        <w:t>”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Incumbent Directors cease for any reason to constitute at least a majority of the Board;</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date which is 10 business days prior to the consummation of a complete liquidation or dissolution of the Company;</w:t>
      </w:r>
    </w:p>
    <w:p>
      <w:pPr>
        <w:pStyle w:val="TextBody"/>
        <w:widowControl/>
        <w:pBdr/>
        <w:bidi w:val="0"/>
        <w:spacing w:before="160" w:after="283"/>
        <w:ind w:left="1440" w:right="0" w:hanging="0"/>
        <w:jc w:val="both"/>
        <w:rPr/>
      </w:pPr>
      <w:r>
        <w:rPr>
          <w:rFonts w:ascii="Times New Roman PS Std;serif" w:hAnsi="Times New Roman PS Std;serif"/>
          <w:b w:val="false"/>
          <w:i w:val="false"/>
          <w:caps w:val="false"/>
          <w:smallCaps w:val="false"/>
          <w:sz w:val="20"/>
        </w:rPr>
        <w:t>(d) 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PS Std;serif" w:hAnsi="Times New Roman PS Std;serif"/>
          <w:b/>
          <w:i w:val="false"/>
          <w:caps w:val="false"/>
          <w:smallCaps w:val="false"/>
          <w:sz w:val="20"/>
        </w:rPr>
        <w:t>Outstanding Company Common Stock</w:t>
      </w:r>
      <w:r>
        <w:rPr>
          <w:caps w:val="false"/>
          <w:smallCaps w:val="false"/>
        </w:rPr>
        <w:t>”</w:t>
      </w:r>
      <w:r>
        <w:rPr>
          <w:rFonts w:ascii="Times New Roman PS Std;serif" w:hAnsi="Times New Roman PS Std;serif"/>
          <w:b w:val="false"/>
          <w:i w:val="false"/>
          <w:caps w:val="false"/>
          <w:smallCaps w:val="false"/>
          <w:sz w:val="20"/>
        </w:rPr>
        <w:t>) or (ii) the combined voting power of the then outstanding voting securities of the Company entitled to vote generally in the election of directors (the “</w:t>
      </w:r>
      <w:r>
        <w:rPr>
          <w:rFonts w:ascii="Times New Roman PS Std;serif" w:hAnsi="Times New Roman PS Std;serif"/>
          <w:b/>
          <w:i w:val="false"/>
          <w:caps w:val="false"/>
          <w:smallCaps w:val="false"/>
          <w:sz w:val="20"/>
        </w:rPr>
        <w:t>Outstanding Company Voting Securities</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pStyle w:val="TextBody"/>
        <w:widowControl/>
        <w:pBdr/>
        <w:bidi w:val="0"/>
        <w:spacing w:before="160" w:after="283"/>
        <w:ind w:left="1440" w:right="0" w:hanging="0"/>
        <w:jc w:val="both"/>
        <w:rPr/>
      </w:pPr>
      <w:r>
        <w:rPr>
          <w:rFonts w:ascii="Times New Roman PS Std;serif" w:hAnsi="Times New Roman PS Std;serif"/>
          <w:b w:val="false"/>
          <w:i w:val="false"/>
          <w:caps w:val="false"/>
          <w:smallCaps w:val="false"/>
          <w:sz w:val="20"/>
        </w:rPr>
        <w:t>(e) 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PS Std;serif" w:hAnsi="Times New Roman PS Std;serif"/>
          <w:b/>
          <w:i w:val="false"/>
          <w:caps w:val="false"/>
          <w:smallCaps w:val="false"/>
          <w:sz w:val="20"/>
        </w:rPr>
        <w:t>Business Combination</w:t>
      </w:r>
      <w:r>
        <w:rPr>
          <w:caps w:val="false"/>
          <w:smallCaps w:val="false"/>
        </w:rPr>
        <w:t>”</w:t>
      </w:r>
      <w:r>
        <w:rPr>
          <w:rFonts w:ascii="Times New Roman PS Std;serif" w:hAnsi="Times New Roman PS Std;serif"/>
          <w:b w:val="false"/>
          <w:i w:val="false"/>
          <w:caps w:val="false"/>
          <w:smallCaps w:val="false"/>
          <w:sz w:val="20"/>
        </w:rPr>
        <w:t>), unless immediately following such Business Combination: (i) more than 50% of the total voting power of (A) the entity resulting from such Business Combination (the “</w:t>
      </w:r>
      <w:r>
        <w:rPr>
          <w:rFonts w:ascii="Times New Roman PS Std;serif" w:hAnsi="Times New Roman PS Std;serif"/>
          <w:b/>
          <w:i w:val="false"/>
          <w:caps w:val="false"/>
          <w:smallCaps w:val="false"/>
          <w:sz w:val="20"/>
        </w:rPr>
        <w:t>Surviving Company</w:t>
      </w:r>
      <w:r>
        <w:rPr>
          <w:caps w:val="false"/>
          <w:smallCaps w:val="false"/>
        </w:rPr>
        <w:t>”</w:t>
      </w:r>
      <w:r>
        <w:rPr>
          <w:rFonts w:ascii="Times New Roman PS Std;serif" w:hAnsi="Times New Roman PS Std;serif"/>
          <w:b w:val="false"/>
          <w:i w:val="false"/>
          <w:caps w:val="false"/>
          <w:smallCaps w:val="false"/>
          <w:sz w:val="20"/>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 PS Std;serif" w:hAnsi="Times New Roman PS Std;serif"/>
          <w:b/>
          <w:i w:val="false"/>
          <w:caps w:val="false"/>
          <w:smallCaps w:val="false"/>
          <w:sz w:val="20"/>
        </w:rPr>
        <w:t>Parent Company</w:t>
      </w:r>
      <w:r>
        <w:rPr>
          <w:caps w:val="false"/>
          <w:smallCaps w:val="false"/>
        </w:rPr>
        <w:t>”</w:t>
      </w:r>
      <w:r>
        <w:rPr>
          <w:rFonts w:ascii="Times New Roman PS Std;serif" w:hAnsi="Times New Roman PS Std;serif"/>
          <w:b w:val="false"/>
          <w:i w:val="false"/>
          <w:caps w:val="false"/>
          <w:smallCaps w:val="false"/>
          <w:sz w:val="20"/>
        </w:rPr>
        <w:t xml:space="preserve">), is represented by the Outstanding Company Voting Securities that were outstanding immediately prior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it may be amended from time to time. Any reference to a section of the Code shall be deemed to include a reference to any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Committee</w:t>
      </w:r>
      <w:r>
        <w:rPr>
          <w:caps w:val="false"/>
          <w:smallCaps w:val="false"/>
        </w:rPr>
        <w:t xml:space="preserve">” </w:t>
      </w:r>
      <w:r>
        <w:rPr>
          <w:rFonts w:ascii="Times New Roman PS Std;serif" w:hAnsi="Times New Roman PS Std;serif"/>
          <w:b w:val="false"/>
          <w:i w:val="false"/>
          <w:caps w:val="false"/>
          <w:smallCaps w:val="false"/>
          <w:sz w:val="20"/>
        </w:rPr>
        <w:t>means a committee of one or more members of the Board appointed by the Board to administer the Plan in accordance with Section 3.3 and Section 3.4.</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Common Stock</w:t>
      </w:r>
      <w:r>
        <w:rPr>
          <w:caps w:val="false"/>
          <w:smallCaps w:val="false"/>
        </w:rPr>
        <w:t xml:space="preserve">” </w:t>
      </w:r>
      <w:r>
        <w:rPr>
          <w:rFonts w:ascii="Times New Roman PS Std;serif" w:hAnsi="Times New Roman PS Std;serif"/>
          <w:b w:val="false"/>
          <w:i w:val="false"/>
          <w:caps w:val="false"/>
          <w:smallCaps w:val="false"/>
          <w:sz w:val="20"/>
        </w:rPr>
        <w:t>means the common stock, $0.001 par value per share, of the Company, or such other securities of the Company as may be designated by the Committee from time to time in substitution thereof.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Company</w:t>
      </w:r>
      <w:r>
        <w:rPr>
          <w:caps w:val="false"/>
          <w:smallCaps w:val="false"/>
        </w:rPr>
        <w:t xml:space="preserve">” </w:t>
      </w:r>
      <w:r>
        <w:rPr>
          <w:rFonts w:ascii="Times New Roman PS Std;serif" w:hAnsi="Times New Roman PS Std;serif"/>
          <w:b w:val="false"/>
          <w:i w:val="false"/>
          <w:caps w:val="false"/>
          <w:smallCaps w:val="false"/>
          <w:sz w:val="20"/>
        </w:rPr>
        <w:t>means RYTHM, Inc., a Nevada corporation, and any successor thereto.</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Consultant</w:t>
      </w:r>
      <w:r>
        <w:rPr>
          <w:caps w:val="false"/>
          <w:smallCaps w:val="false"/>
        </w:rPr>
        <w:t xml:space="preserve">” </w:t>
      </w:r>
      <w:r>
        <w:rPr>
          <w:rFonts w:ascii="Times New Roman PS Std;serif" w:hAnsi="Times New Roman PS Std;serif"/>
          <w:b w:val="false"/>
          <w:i w:val="false"/>
          <w:caps w:val="false"/>
          <w:smallCaps w:val="false"/>
          <w:sz w:val="20"/>
        </w:rPr>
        <w:t>means any individual or entity which performs bona fide services to the Company or an Affiliate, other than as an Employee or Director, and who may be offered securities registerable pursuant to a registration statement on Form S-8 under the Securities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Continuous Service</w:t>
      </w:r>
      <w:r>
        <w:rPr>
          <w:caps w:val="false"/>
          <w:smallCaps w:val="false"/>
        </w:rPr>
        <w:t xml:space="preserve">” </w:t>
      </w:r>
      <w:r>
        <w:rPr>
          <w:rFonts w:ascii="Times New Roman PS Std;serif" w:hAnsi="Times New Roman PS Std;serif"/>
          <w:b w:val="false"/>
          <w:i w:val="false"/>
          <w:caps w:val="false"/>
          <w:smallCaps w:val="false"/>
          <w:sz w:val="20"/>
        </w:rPr>
        <w:t>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PS Std;serif" w:hAnsi="Times New Roman PS Std;serif"/>
          <w:b w:val="false"/>
          <w:i/>
          <w:sz w:val="20"/>
        </w:rPr>
        <w:t>provided that</w:t>
      </w:r>
      <w:r>
        <w:rPr>
          <w:caps w:val="false"/>
          <w:smallCaps w:val="false"/>
        </w:rPr>
        <w:t> </w:t>
      </w:r>
      <w:r>
        <w:rPr>
          <w:rFonts w:ascii="Times New Roman PS Std;serif" w:hAnsi="Times New Roman PS Std;serif"/>
          <w:b w:val="false"/>
          <w:i w:val="false"/>
          <w:caps w:val="false"/>
          <w:smallCaps w:val="false"/>
          <w:sz w:val="20"/>
        </w:rPr>
        <w:t>there is no interruption or termination of the Participant’s Continuous Service; </w:t>
      </w:r>
      <w:r>
        <w:rPr>
          <w:rFonts w:ascii="Times New Roman PS Std;serif" w:hAnsi="Times New Roman PS Std;serif"/>
          <w:b w:val="false"/>
          <w:i/>
          <w:sz w:val="20"/>
        </w:rPr>
        <w:t>provided further that</w:t>
      </w:r>
      <w:r>
        <w:rPr>
          <w:caps w:val="false"/>
          <w:smallCaps w:val="false"/>
        </w:rPr>
        <w:t> </w:t>
      </w:r>
      <w:r>
        <w:rPr>
          <w:rFonts w:ascii="Times New Roman PS Std;serif" w:hAnsi="Times New Roman PS Std;serif"/>
          <w:b w:val="false"/>
          <w:i w:val="false"/>
          <w:caps w:val="false"/>
          <w:smallCaps w:val="false"/>
          <w:sz w:val="20"/>
        </w:rPr>
        <w:t>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Deferred Stock Units (DSUs)</w:t>
      </w:r>
      <w:r>
        <w:rPr>
          <w:caps w:val="false"/>
          <w:smallCaps w:val="false"/>
        </w:rPr>
        <w:t xml:space="preserve">” </w:t>
      </w:r>
      <w:r>
        <w:rPr>
          <w:rFonts w:ascii="Times New Roman PS Std;serif" w:hAnsi="Times New Roman PS Std;serif"/>
          <w:b w:val="false"/>
          <w:i w:val="false"/>
          <w:caps w:val="false"/>
          <w:smallCaps w:val="false"/>
          <w:sz w:val="20"/>
        </w:rPr>
        <w:t>has the meaning set forth in Section 8.1(b) 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Director</w:t>
      </w:r>
      <w:r>
        <w:rPr>
          <w:caps w:val="false"/>
          <w:smallCaps w:val="false"/>
        </w:rPr>
        <w:t xml:space="preserve">” </w:t>
      </w:r>
      <w:r>
        <w:rPr>
          <w:rFonts w:ascii="Times New Roman PS Std;serif" w:hAnsi="Times New Roman PS Std;serif"/>
          <w:b w:val="false"/>
          <w:i w:val="false"/>
          <w:caps w:val="false"/>
          <w:smallCaps w:val="false"/>
          <w:sz w:val="20"/>
        </w:rPr>
        <w:t>means a member of the Board.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Disqualifying Disposition</w:t>
      </w:r>
      <w:r>
        <w:rPr>
          <w:caps w:val="false"/>
          <w:smallCaps w:val="false"/>
        </w:rPr>
        <w:t xml:space="preserve">” </w:t>
      </w:r>
      <w:r>
        <w:rPr>
          <w:rFonts w:ascii="Times New Roman PS Std;serif" w:hAnsi="Times New Roman PS Std;serif"/>
          <w:b w:val="false"/>
          <w:i w:val="false"/>
          <w:caps w:val="false"/>
          <w:smallCaps w:val="false"/>
          <w:sz w:val="20"/>
        </w:rPr>
        <w:t>has the meaning set forth in Section 17.12.</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Effective Date</w:t>
      </w:r>
      <w:r>
        <w:rPr>
          <w:caps w:val="false"/>
          <w:smallCaps w:val="false"/>
        </w:rPr>
        <w:t xml:space="preserve">” </w:t>
      </w:r>
      <w:r>
        <w:rPr>
          <w:rFonts w:ascii="Times New Roman PS Std;serif" w:hAnsi="Times New Roman PS Std;serif"/>
          <w:b w:val="false"/>
          <w:i w:val="false"/>
          <w:caps w:val="false"/>
          <w:smallCaps w:val="false"/>
          <w:sz w:val="20"/>
        </w:rPr>
        <w:t>shall mean the date that the Company’s shareholders approve this Plan if such shareholder approval occurs before the first anniversary of the date the Plan is adopted by the Board.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Employee</w:t>
      </w:r>
      <w:r>
        <w:rPr>
          <w:caps w:val="false"/>
          <w:smallCaps w:val="false"/>
        </w:rPr>
        <w:t xml:space="preserve">” </w:t>
      </w:r>
      <w:r>
        <w:rPr>
          <w:rFonts w:ascii="Times New Roman PS Std;serif" w:hAnsi="Times New Roman PS Std;serif"/>
          <w:b w:val="false"/>
          <w:i w:val="false"/>
          <w:caps w:val="false"/>
          <w:smallCaps w:val="false"/>
          <w:sz w:val="20"/>
        </w:rPr>
        <w:t>means any person, including an Officer or Director, employed by the Company or an Affiliate; </w:t>
      </w:r>
      <w:r>
        <w:rPr>
          <w:rFonts w:ascii="Times New Roman PS Std;serif" w:hAnsi="Times New Roman PS Std;serif"/>
          <w:b w:val="false"/>
          <w:i/>
          <w:sz w:val="20"/>
        </w:rPr>
        <w:t>provided, that, </w:t>
      </w:r>
      <w:r>
        <w:rPr>
          <w:rFonts w:ascii="Times New Roman PS Std;serif" w:hAnsi="Times New Roman PS Std;serif"/>
          <w:b w:val="false"/>
          <w:i w:val="false"/>
          <w:caps w:val="false"/>
          <w:smallCaps w:val="false"/>
          <w:sz w:val="20"/>
        </w:rPr>
        <w:t>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Fair Market Value</w:t>
      </w:r>
      <w:r>
        <w:rPr>
          <w:caps w:val="false"/>
          <w:smallCaps w:val="false"/>
        </w:rPr>
        <w:t xml:space="preserve">” </w:t>
      </w:r>
      <w:r>
        <w:rPr>
          <w:rFonts w:ascii="Times New Roman PS Std;serif" w:hAnsi="Times New Roman PS Std;serif"/>
          <w:b w:val="false"/>
          <w:i w:val="false"/>
          <w:caps w:val="false"/>
          <w:smallCaps w:val="false"/>
          <w:sz w:val="20"/>
        </w:rPr>
        <w:t>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 PS Std;serif" w:hAnsi="Times New Roman PS Std;serif"/>
          <w:b w:val="false"/>
          <w:i/>
          <w:sz w:val="20"/>
        </w:rPr>
        <w:t>Wall Street Journal</w:t>
      </w:r>
      <w:r>
        <w:rPr>
          <w:rFonts w:ascii="Times New Roman PS Std;serif" w:hAnsi="Times New Roman PS Std;serif"/>
          <w:b w:val="false"/>
          <w:i w:val="false"/>
          <w:caps w:val="false"/>
          <w:smallCaps w:val="false"/>
          <w:sz w:val="20"/>
        </w:rPr>
        <w:t>. In the absence of an established market for the Common Stock, the Fair Market Value shall be determined in good faith by the Committee and such determination shall be conclusive and binding on all persons.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Fiscal Year</w:t>
      </w:r>
      <w:r>
        <w:rPr>
          <w:caps w:val="false"/>
          <w:smallCaps w:val="false"/>
        </w:rPr>
        <w:t xml:space="preserve">” </w:t>
      </w:r>
      <w:r>
        <w:rPr>
          <w:rFonts w:ascii="Times New Roman PS Std;serif" w:hAnsi="Times New Roman PS Std;serif"/>
          <w:b w:val="false"/>
          <w:i w:val="false"/>
          <w:caps w:val="false"/>
          <w:smallCaps w:val="false"/>
          <w:sz w:val="20"/>
        </w:rPr>
        <w:t>means the Company’s fiscal year.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Free Standing Rights</w:t>
      </w:r>
      <w:r>
        <w:rPr>
          <w:caps w:val="false"/>
          <w:smallCaps w:val="false"/>
        </w:rPr>
        <w:t xml:space="preserve">” </w:t>
      </w:r>
      <w:r>
        <w:rPr>
          <w:rFonts w:ascii="Times New Roman PS Std;serif" w:hAnsi="Times New Roman PS Std;serif"/>
          <w:b w:val="false"/>
          <w:i w:val="false"/>
          <w:caps w:val="false"/>
          <w:smallCaps w:val="false"/>
          <w:sz w:val="20"/>
        </w:rPr>
        <w:t>has the meaning set forth in Section 7.</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Good Reason</w:t>
      </w:r>
      <w:r>
        <w:rPr>
          <w:caps w:val="false"/>
          <w:smallCaps w:val="false"/>
        </w:rPr>
        <w:t xml:space="preserve">” </w:t>
      </w:r>
      <w:r>
        <w:rPr>
          <w:rFonts w:ascii="Times New Roman PS Std;serif" w:hAnsi="Times New Roman PS Std;serif"/>
          <w:b w:val="false"/>
          <w:i w:val="false"/>
          <w:caps w:val="false"/>
          <w:smallCaps w:val="false"/>
          <w:sz w:val="20"/>
        </w:rPr>
        <w:t>means, unless the applicable Award Agreement states otherwise:</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 Employee or Consultant is a party to an employment or service agreement with the Company or its Affiliates and such agreement provides for a definition of Good Reason, the definition contained therein; or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 (ii) a material reduction in the Participant’s base salary or bonus opportunity other than as part of an across-the-board salary reduction that applies in substantially the same proportions to all similarly situated Employees.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Grant Date</w:t>
      </w:r>
      <w:r>
        <w:rPr>
          <w:caps w:val="false"/>
          <w:smallCaps w:val="false"/>
        </w:rPr>
        <w:t xml:space="preserve">” </w:t>
      </w:r>
      <w:r>
        <w:rPr>
          <w:rFonts w:ascii="Times New Roman PS Std;serif" w:hAnsi="Times New Roman PS Std;serif"/>
          <w:b w:val="false"/>
          <w:i w:val="false"/>
          <w:caps w:val="false"/>
          <w:smallCaps w:val="false"/>
          <w:sz w:val="20"/>
        </w:rPr>
        <w:t>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Incentive Stock Option</w:t>
      </w:r>
      <w:r>
        <w:rPr>
          <w:caps w:val="false"/>
          <w:smallCaps w:val="false"/>
        </w:rPr>
        <w:t xml:space="preserve">” </w:t>
      </w:r>
      <w:r>
        <w:rPr>
          <w:rFonts w:ascii="Times New Roman PS Std;serif" w:hAnsi="Times New Roman PS Std;serif"/>
          <w:b w:val="false"/>
          <w:i w:val="false"/>
          <w:caps w:val="false"/>
          <w:smallCaps w:val="false"/>
          <w:sz w:val="20"/>
        </w:rPr>
        <w:t>means an Option that is designated by the Committee as an incentive stock option within the meaning of Section 422 of the Code and that meets the requirements set out in the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Incumbent Directors</w:t>
      </w:r>
      <w:r>
        <w:rPr>
          <w:caps w:val="false"/>
          <w:smallCaps w:val="false"/>
        </w:rPr>
        <w:t xml:space="preserve">” </w:t>
      </w:r>
      <w:r>
        <w:rPr>
          <w:rFonts w:ascii="Times New Roman PS Std;serif" w:hAnsi="Times New Roman PS Std;serif"/>
          <w:b w:val="false"/>
          <w:i w:val="false"/>
          <w:caps w:val="false"/>
          <w:smallCaps w:val="false"/>
          <w:sz w:val="20"/>
        </w:rPr>
        <w:t>means individuals who, on the Effective Date, constitute the Board, </w:t>
      </w:r>
      <w:r>
        <w:rPr>
          <w:rFonts w:ascii="Times New Roman PS Std;serif" w:hAnsi="Times New Roman PS Std;serif"/>
          <w:b w:val="false"/>
          <w:i/>
          <w:sz w:val="20"/>
        </w:rPr>
        <w:t>provided that</w:t>
      </w:r>
      <w:r>
        <w:rPr>
          <w:caps w:val="false"/>
          <w:smallCaps w:val="false"/>
        </w:rPr>
        <w:t> </w:t>
      </w:r>
      <w:r>
        <w:rPr>
          <w:rFonts w:ascii="Times New Roman PS Std;serif" w:hAnsi="Times New Roman PS Std;serif"/>
          <w:b w:val="false"/>
          <w:i w:val="false"/>
          <w:caps w:val="false"/>
          <w:smallCaps w:val="false"/>
          <w:sz w:val="20"/>
        </w:rPr>
        <w:t>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Non-Employee Director</w:t>
      </w:r>
      <w:r>
        <w:rPr>
          <w:caps w:val="false"/>
          <w:smallCaps w:val="false"/>
        </w:rPr>
        <w:t xml:space="preserve">” </w:t>
      </w:r>
      <w:r>
        <w:rPr>
          <w:rFonts w:ascii="Times New Roman PS Std;serif" w:hAnsi="Times New Roman PS Std;serif"/>
          <w:b w:val="false"/>
          <w:i w:val="false"/>
          <w:caps w:val="false"/>
          <w:smallCaps w:val="false"/>
          <w:sz w:val="20"/>
        </w:rPr>
        <w:t>means a Director who is a “non-employee director” within the meaning of Rule 16b-3.</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Non-qualified Stock Option</w:t>
      </w:r>
      <w:r>
        <w:rPr>
          <w:caps w:val="false"/>
          <w:smallCaps w:val="false"/>
        </w:rPr>
        <w:t xml:space="preserve">” </w:t>
      </w:r>
      <w:r>
        <w:rPr>
          <w:rFonts w:ascii="Times New Roman PS Std;serif" w:hAnsi="Times New Roman PS Std;serif"/>
          <w:b w:val="false"/>
          <w:i w:val="false"/>
          <w:caps w:val="false"/>
          <w:smallCaps w:val="false"/>
          <w:sz w:val="20"/>
        </w:rPr>
        <w:t>means an Option that by its terms does not qualify or is not intended to qualify as an Incentive Stock Option.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Officer</w:t>
      </w:r>
      <w:r>
        <w:rPr>
          <w:caps w:val="false"/>
          <w:smallCaps w:val="false"/>
        </w:rPr>
        <w:t xml:space="preserve">” </w:t>
      </w:r>
      <w:r>
        <w:rPr>
          <w:rFonts w:ascii="Times New Roman PS Std;serif" w:hAnsi="Times New Roman PS Std;serif"/>
          <w:b w:val="false"/>
          <w:i w:val="false"/>
          <w:caps w:val="false"/>
          <w:smallCaps w:val="false"/>
          <w:sz w:val="20"/>
        </w:rPr>
        <w:t>means a person who is an officer of the Company within the meaning of Section 16 of the Exchange Act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Option</w:t>
      </w:r>
      <w:r>
        <w:rPr>
          <w:caps w:val="false"/>
          <w:smallCaps w:val="false"/>
        </w:rPr>
        <w:t xml:space="preserve">” </w:t>
      </w:r>
      <w:r>
        <w:rPr>
          <w:rFonts w:ascii="Times New Roman PS Std;serif" w:hAnsi="Times New Roman PS Std;serif"/>
          <w:b w:val="false"/>
          <w:i w:val="false"/>
          <w:caps w:val="false"/>
          <w:smallCaps w:val="false"/>
          <w:sz w:val="20"/>
        </w:rPr>
        <w:t>means an Incentive Stock Option or a Non-qualified Stock Option granted pursuant to the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Optionholder</w:t>
      </w:r>
      <w:r>
        <w:rPr>
          <w:caps w:val="false"/>
          <w:smallCaps w:val="false"/>
        </w:rPr>
        <w:t xml:space="preserve">” </w:t>
      </w:r>
      <w:r>
        <w:rPr>
          <w:rFonts w:ascii="Times New Roman PS Std;serif" w:hAnsi="Times New Roman PS Std;serif"/>
          <w:b w:val="false"/>
          <w:i w:val="false"/>
          <w:caps w:val="false"/>
          <w:smallCaps w:val="false"/>
          <w:sz w:val="20"/>
        </w:rPr>
        <w:t>means a person to whom an Option is granted pursuant to the Plan or, if applicable, such other person who holds an outstanding Option.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Option Exercise Price</w:t>
      </w:r>
      <w:r>
        <w:rPr>
          <w:caps w:val="false"/>
          <w:smallCaps w:val="false"/>
        </w:rPr>
        <w:t xml:space="preserve">” </w:t>
      </w:r>
      <w:r>
        <w:rPr>
          <w:rFonts w:ascii="Times New Roman PS Std;serif" w:hAnsi="Times New Roman PS Std;serif"/>
          <w:b w:val="false"/>
          <w:i w:val="false"/>
          <w:caps w:val="false"/>
          <w:smallCaps w:val="false"/>
          <w:sz w:val="20"/>
        </w:rPr>
        <w:t>means the price at which a share of Common Stock may be purchased upon the exercise of an Option.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Other Equity-Based Award”</w:t>
      </w:r>
      <w:r>
        <w:rPr>
          <w:caps w:val="false"/>
          <w:smallCaps w:val="false"/>
        </w:rPr>
        <w:t> </w:t>
      </w:r>
      <w:r>
        <w:rPr>
          <w:rFonts w:ascii="Times New Roman PS Std;serif" w:hAnsi="Times New Roman PS Std;serif"/>
          <w:b w:val="false"/>
          <w:i w:val="false"/>
          <w:caps w:val="false"/>
          <w:smallCaps w:val="false"/>
          <w:sz w:val="20"/>
        </w:rPr>
        <w:t>means an Award that is not an Option, Stock Appreciation Right, Restricted Stock, Restricted Stock Unit, or Performance Share Award that is granted under Section 10 and is payable by delivery of Common Stock and/or which is measured by reference to the value of Common Stock.</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Participant</w:t>
      </w:r>
      <w:r>
        <w:rPr>
          <w:caps w:val="false"/>
          <w:smallCaps w:val="false"/>
        </w:rPr>
        <w:t xml:space="preserve">” </w:t>
      </w:r>
      <w:r>
        <w:rPr>
          <w:rFonts w:ascii="Times New Roman PS Std;serif" w:hAnsi="Times New Roman PS Std;serif"/>
          <w:b w:val="false"/>
          <w:i w:val="false"/>
          <w:caps w:val="false"/>
          <w:smallCaps w:val="false"/>
          <w:sz w:val="20"/>
        </w:rPr>
        <w:t>means an eligible person to whom an Award is granted pursuant to the Plan or, if applicable, such other person who holds an outstanding Award.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Performance Goals</w:t>
      </w:r>
      <w:r>
        <w:rPr>
          <w:caps w:val="false"/>
          <w:smallCaps w:val="false"/>
        </w:rPr>
        <w:t xml:space="preserve">” </w:t>
      </w:r>
      <w:r>
        <w:rPr>
          <w:rFonts w:ascii="Times New Roman PS Std;serif" w:hAnsi="Times New Roman PS Std;serif"/>
          <w:b w:val="false"/>
          <w:i w:val="false"/>
          <w:caps w:val="false"/>
          <w:smallCaps w:val="false"/>
          <w:sz w:val="20"/>
        </w:rPr>
        <w:t>means, for a Performance Period, the one or more goals established by the Committee for the Performance Period based upon business criteria or other performance measures determined by the Committee in its discretion.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Performance Period</w:t>
      </w:r>
      <w:r>
        <w:rPr>
          <w:caps w:val="false"/>
          <w:smallCaps w:val="false"/>
        </w:rPr>
        <w:t xml:space="preserve">” </w:t>
      </w:r>
      <w:r>
        <w:rPr>
          <w:rFonts w:ascii="Times New Roman PS Std;serif" w:hAnsi="Times New Roman PS Std;serif"/>
          <w:b w:val="false"/>
          <w:i w:val="false"/>
          <w:caps w:val="false"/>
          <w:smallCaps w:val="false"/>
          <w:sz w:val="20"/>
        </w:rPr>
        <w:t>means the one or more periods of time, as the Committee may select, over which the attainment of one or more Performance Goals will be measured for the purpose of determining a Participant’s right to and the payment of a Performance Share Award or a Cash Award.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Performance Share Award</w:t>
      </w:r>
      <w:r>
        <w:rPr>
          <w:caps w:val="false"/>
          <w:smallCaps w:val="false"/>
        </w:rPr>
        <w:t xml:space="preserve">” </w:t>
      </w:r>
      <w:r>
        <w:rPr>
          <w:rFonts w:ascii="Times New Roman PS Std;serif" w:hAnsi="Times New Roman PS Std;serif"/>
          <w:b w:val="false"/>
          <w:i w:val="false"/>
          <w:caps w:val="false"/>
          <w:smallCaps w:val="false"/>
          <w:sz w:val="20"/>
        </w:rPr>
        <w:t>means any Award granted pursuant to Section 9 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Performance Share</w:t>
      </w:r>
      <w:r>
        <w:rPr>
          <w:caps w:val="false"/>
          <w:smallCaps w:val="false"/>
        </w:rPr>
        <w:t xml:space="preserve">” </w:t>
      </w:r>
      <w:r>
        <w:rPr>
          <w:rFonts w:ascii="Times New Roman PS Std;serif" w:hAnsi="Times New Roman PS Std;serif"/>
          <w:b w:val="false"/>
          <w:i w:val="false"/>
          <w:caps w:val="false"/>
          <w:smallCaps w:val="false"/>
          <w:sz w:val="20"/>
        </w:rPr>
        <w:t>means the grant of a right to receive a number of actual shares of Common Stock or share units based upon the performance of the Company during a Performance Period, as determined by the Committee.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Permitted Transferee</w:t>
      </w:r>
      <w:r>
        <w:rPr>
          <w:caps w:val="false"/>
          <w:smallCaps w:val="false"/>
        </w:rPr>
        <w:t xml:space="preserve">” </w:t>
      </w:r>
      <w:r>
        <w:rPr>
          <w:rFonts w:ascii="Times New Roman PS Std;serif" w:hAnsi="Times New Roman PS Std;serif"/>
          <w:b w:val="false"/>
          <w:i w:val="false"/>
          <w:caps w:val="false"/>
          <w:smallCaps w:val="false"/>
          <w:sz w:val="20"/>
        </w:rPr>
        <w:t>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Person”</w:t>
      </w:r>
      <w:r>
        <w:rPr>
          <w:caps w:val="false"/>
          <w:smallCaps w:val="false"/>
        </w:rPr>
        <w:t> </w:t>
      </w:r>
      <w:r>
        <w:rPr>
          <w:rFonts w:ascii="Times New Roman PS Std;serif" w:hAnsi="Times New Roman PS Std;serif"/>
          <w:b w:val="false"/>
          <w:i w:val="false"/>
          <w:caps w:val="false"/>
          <w:smallCaps w:val="false"/>
          <w:sz w:val="20"/>
        </w:rPr>
        <w:t>means a person as defined in Section 13(d)(3) of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Plan</w:t>
      </w:r>
      <w:r>
        <w:rPr>
          <w:caps w:val="false"/>
          <w:smallCaps w:val="false"/>
        </w:rPr>
        <w:t xml:space="preserve">” </w:t>
      </w:r>
      <w:r>
        <w:rPr>
          <w:rFonts w:ascii="Times New Roman PS Std;serif" w:hAnsi="Times New Roman PS Std;serif"/>
          <w:b w:val="false"/>
          <w:i w:val="false"/>
          <w:caps w:val="false"/>
          <w:smallCaps w:val="false"/>
          <w:sz w:val="20"/>
        </w:rPr>
        <w:t>means this RYTHM, Inc. 2022 Omnibus Equity Incentive Plan, as amended and/or amended and restated from time to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Related Rights</w:t>
      </w:r>
      <w:r>
        <w:rPr>
          <w:caps w:val="false"/>
          <w:smallCaps w:val="false"/>
        </w:rPr>
        <w:t xml:space="preserve">” </w:t>
      </w:r>
      <w:r>
        <w:rPr>
          <w:rFonts w:ascii="Times New Roman PS Std;serif" w:hAnsi="Times New Roman PS Std;serif"/>
          <w:b w:val="false"/>
          <w:i w:val="false"/>
          <w:caps w:val="false"/>
          <w:smallCaps w:val="false"/>
          <w:sz w:val="20"/>
        </w:rPr>
        <w:t>has the meaning set forth in Section 7.</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Restricted Award</w:t>
      </w:r>
      <w:r>
        <w:rPr>
          <w:caps w:val="false"/>
          <w:smallCaps w:val="false"/>
        </w:rPr>
        <w:t xml:space="preserve">” </w:t>
      </w:r>
      <w:r>
        <w:rPr>
          <w:rFonts w:ascii="Times New Roman PS Std;serif" w:hAnsi="Times New Roman PS Std;serif"/>
          <w:b w:val="false"/>
          <w:i w:val="false"/>
          <w:caps w:val="false"/>
          <w:smallCaps w:val="false"/>
          <w:sz w:val="20"/>
        </w:rPr>
        <w:t>means any Award granted pursuant to Section 8.</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Restricted Period</w:t>
      </w:r>
      <w:r>
        <w:rPr>
          <w:caps w:val="false"/>
          <w:smallCaps w:val="false"/>
        </w:rPr>
        <w:t xml:space="preserve">” </w:t>
      </w:r>
      <w:r>
        <w:rPr>
          <w:rFonts w:ascii="Times New Roman PS Std;serif" w:hAnsi="Times New Roman PS Std;serif"/>
          <w:b w:val="false"/>
          <w:i w:val="false"/>
          <w:caps w:val="false"/>
          <w:smallCaps w:val="false"/>
          <w:sz w:val="20"/>
        </w:rPr>
        <w:t>has the meaning set forth in Section 8.</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Rule 16b-3</w:t>
      </w:r>
      <w:r>
        <w:rPr>
          <w:caps w:val="false"/>
          <w:smallCaps w:val="false"/>
        </w:rPr>
        <w:t xml:space="preserve">” </w:t>
      </w:r>
      <w:r>
        <w:rPr>
          <w:rFonts w:ascii="Times New Roman PS Std;serif" w:hAnsi="Times New Roman PS Std;serif"/>
          <w:b w:val="false"/>
          <w:i w:val="false"/>
          <w:caps w:val="false"/>
          <w:smallCaps w:val="false"/>
          <w:sz w:val="20"/>
        </w:rPr>
        <w:t>means Rule 16b-3 promulgated under the Exchange Act or any successor to Rule 16b-3, as in effect from time to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Stock Appreciation Right</w:t>
      </w:r>
      <w:r>
        <w:rPr>
          <w:caps w:val="false"/>
          <w:smallCaps w:val="false"/>
        </w:rPr>
        <w:t xml:space="preserve">” </w:t>
      </w:r>
      <w:r>
        <w:rPr>
          <w:rFonts w:ascii="Times New Roman PS Std;serif" w:hAnsi="Times New Roman PS Std;serif"/>
          <w:b w:val="false"/>
          <w:i w:val="false"/>
          <w:caps w:val="false"/>
          <w:smallCaps w:val="false"/>
          <w:sz w:val="20"/>
        </w:rPr>
        <w:t>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Stock for Stock Exchange</w:t>
      </w:r>
      <w:r>
        <w:rPr>
          <w:caps w:val="false"/>
          <w:smallCaps w:val="false"/>
        </w:rPr>
        <w:t xml:space="preserve">” </w:t>
      </w:r>
      <w:r>
        <w:rPr>
          <w:rFonts w:ascii="Times New Roman PS Std;serif" w:hAnsi="Times New Roman PS Std;serif"/>
          <w:b w:val="false"/>
          <w:i w:val="false"/>
          <w:caps w:val="false"/>
          <w:smallCaps w:val="false"/>
          <w:sz w:val="20"/>
        </w:rPr>
        <w:t>has the meaning set forth in Section 6.4.</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Substitute Award” </w:t>
      </w:r>
      <w:r>
        <w:rPr>
          <w:rFonts w:ascii="Times New Roman PS Std;serif" w:hAnsi="Times New Roman PS Std;serif"/>
          <w:b w:val="false"/>
          <w:i w:val="false"/>
          <w:caps w:val="false"/>
          <w:smallCaps w:val="false"/>
          <w:sz w:val="20"/>
        </w:rPr>
        <w:t>has the meaning set forth in Section 4.5.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Ten Percent Shareholder</w:t>
      </w:r>
      <w:r>
        <w:rPr>
          <w:caps w:val="false"/>
          <w:smallCaps w:val="false"/>
        </w:rPr>
        <w:t xml:space="preserve">” </w:t>
      </w:r>
      <w:r>
        <w:rPr>
          <w:rFonts w:ascii="Times New Roman PS Std;serif" w:hAnsi="Times New Roman PS Std;serif"/>
          <w:b w:val="false"/>
          <w:i w:val="false"/>
          <w:caps w:val="false"/>
          <w:smallCaps w:val="false"/>
          <w:sz w:val="20"/>
        </w:rPr>
        <w:t>means a person who owns (or is deemed to own pursuant to Section 424(d) of the Code) stock possessing more than 10% of the total combined voting power of all classes of stock of the Company or of any of its Affiliates.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i w:val="false"/>
          <w:caps w:val="false"/>
          <w:smallCaps w:val="false"/>
          <w:sz w:val="20"/>
        </w:rPr>
        <w:t>Total Share Reserve</w:t>
      </w:r>
      <w:r>
        <w:rPr>
          <w:caps w:val="false"/>
          <w:smallCaps w:val="false"/>
        </w:rPr>
        <w:t xml:space="preserve">” </w:t>
      </w:r>
      <w:r>
        <w:rPr>
          <w:rFonts w:ascii="Times New Roman PS Std;serif" w:hAnsi="Times New Roman PS Std;serif"/>
          <w:b w:val="false"/>
          <w:i w:val="false"/>
          <w:caps w:val="false"/>
          <w:smallCaps w:val="false"/>
          <w:sz w:val="20"/>
        </w:rPr>
        <w:t>has the meaning set forth in Section 4.1.</w:t>
      </w:r>
    </w:p>
    <w:p>
      <w:pPr>
        <w:pStyle w:val="TextBody"/>
        <w:widowControl/>
        <w:pBdr/>
        <w:bidi w:val="0"/>
        <w:spacing w:before="160" w:after="283"/>
        <w:ind w:left="720" w:right="0" w:hanging="0"/>
        <w:jc w:val="both"/>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Administration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3.1         </w:t>
      </w:r>
      <w:r>
        <w:rPr>
          <w:rFonts w:ascii="Times New Roman PS Std;serif" w:hAnsi="Times New Roman PS Std;serif"/>
          <w:b w:val="false"/>
          <w:i w:val="false"/>
          <w:caps w:val="false"/>
          <w:smallCaps w:val="false"/>
          <w:sz w:val="20"/>
          <w:u w:val="single"/>
        </w:rPr>
        <w:t>Authority of Committee</w:t>
      </w:r>
      <w:r>
        <w:rPr>
          <w:rFonts w:ascii="Times New Roman PS Std;serif" w:hAnsi="Times New Roman PS Std;serif"/>
          <w:b w:val="false"/>
          <w:i w:val="false"/>
          <w:caps w:val="false"/>
          <w:smallCaps w:val="false"/>
          <w:sz w:val="20"/>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construe and interpret the Plan and apply its provisions;</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promulgate, amend, and rescind rules and regulations relating to the administration of the Plan;</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authorize any person to execute, on behalf of the Company, any instrument required to carry out the purposes of the Plan;</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delegate its authority to one or more Officers of the Company with respect to Awards that do not involve “insiders” within the meaning of Section 16 of the Exchange Act;</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 determine when Awards are to be granted under the Plan and the applicable Grant Date;</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from time to time to select, subject to the limitations set forth in this Plan, those eligible Award recipients to whom Awards shall be granted;</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to determine the number of shares of Common Stock to be made subject to each Award;</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determine whether each Option is to be an Incentive Stock Option or a Non-qualified Stock Option;</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prescribe the terms and conditions of each Award, including, without limitation, the exercise price and medium of payment and vesting provisions, and to specify the provisions of the Award Agreement relating to such grant;</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(k)         to amend any outstanding Awards, including for the purpose of modifying the time or manner of vesting, or the term of any outstanding Award;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to make decisions with respect to outstanding Awards that may become necessary upon a change in corporate control or an event that triggers anti-dilution adjustments;</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to interpret, administer, reconcile any inconsistency in, correct any defect in and/or supply any omission in the Plan and any instrument or agreement relating to, or Award granted under, the Plan; and</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to exercise discretion to make any and all other determinations which it determines to be necessary or advisable for the administration of the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3.2         </w:t>
      </w:r>
      <w:r>
        <w:rPr>
          <w:rFonts w:ascii="Times New Roman PS Std;serif" w:hAnsi="Times New Roman PS Std;serif"/>
          <w:b w:val="false"/>
          <w:i w:val="false"/>
          <w:caps w:val="false"/>
          <w:smallCaps w:val="false"/>
          <w:sz w:val="20"/>
          <w:u w:val="single"/>
        </w:rPr>
        <w:t>Committee Decisions Final</w:t>
      </w:r>
      <w:r>
        <w:rPr>
          <w:rFonts w:ascii="Times New Roman PS Std;serif" w:hAnsi="Times New Roman PS Std;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3.3         </w:t>
      </w:r>
      <w:r>
        <w:rPr>
          <w:rFonts w:ascii="Times New Roman PS Std;serif" w:hAnsi="Times New Roman PS Std;serif"/>
          <w:b w:val="false"/>
          <w:i w:val="false"/>
          <w:caps w:val="false"/>
          <w:smallCaps w:val="false"/>
          <w:sz w:val="20"/>
          <w:u w:val="single"/>
        </w:rPr>
        <w:t>Delegation</w:t>
      </w:r>
      <w:r>
        <w:rPr>
          <w:rFonts w:ascii="Times New Roman PS Std;serif" w:hAnsi="Times New Roman PS Std;serif"/>
          <w:b w:val="false"/>
          <w:i w:val="false"/>
          <w:caps w:val="false"/>
          <w:smallCaps w:val="false"/>
          <w:sz w:val="20"/>
        </w:rPr>
        <w:t>. The Committee or, if no Committee has been appointed, the Board may delegate administration of the Plan to a committee or committees of one or more members of the Board, and the term “</w:t>
      </w:r>
      <w:r>
        <w:rPr>
          <w:rFonts w:ascii="Times New Roman PS Std;serif" w:hAnsi="Times New Roman PS Std;serif"/>
          <w:b/>
          <w:i w:val="false"/>
          <w:caps w:val="false"/>
          <w:smallCaps w:val="false"/>
          <w:sz w:val="20"/>
        </w:rPr>
        <w:t>Committee</w:t>
      </w:r>
      <w:r>
        <w:rPr>
          <w:caps w:val="false"/>
          <w:smallCaps w:val="false"/>
        </w:rPr>
        <w:t xml:space="preserve">” </w:t>
      </w:r>
      <w:r>
        <w:rPr>
          <w:rFonts w:ascii="Times New Roman PS Std;serif" w:hAnsi="Times New Roman PS Std;serif"/>
          <w:b w:val="false"/>
          <w:i w:val="false"/>
          <w:caps w:val="false"/>
          <w:smallCaps w:val="false"/>
          <w:sz w:val="20"/>
        </w:rPr>
        <w:t>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3.4         </w:t>
      </w:r>
      <w:r>
        <w:rPr>
          <w:rFonts w:ascii="Times New Roman PS Std;serif" w:hAnsi="Times New Roman PS Std;serif"/>
          <w:b w:val="false"/>
          <w:i w:val="false"/>
          <w:caps w:val="false"/>
          <w:smallCaps w:val="false"/>
          <w:sz w:val="20"/>
          <w:u w:val="single"/>
        </w:rPr>
        <w:t>Committee Composition</w:t>
      </w:r>
      <w:r>
        <w:rPr>
          <w:rFonts w:ascii="Times New Roman PS Std;serif" w:hAnsi="Times New Roman PS Std;serif"/>
          <w:b w:val="false"/>
          <w:i w:val="false"/>
          <w:caps w:val="false"/>
          <w:smallCaps w:val="false"/>
          <w:sz w:val="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3.5         </w:t>
      </w:r>
      <w:r>
        <w:rPr>
          <w:rFonts w:ascii="Times New Roman PS Std;serif" w:hAnsi="Times New Roman PS Std;serif"/>
          <w:b w:val="false"/>
          <w:i w:val="false"/>
          <w:caps w:val="false"/>
          <w:smallCaps w:val="false"/>
          <w:sz w:val="20"/>
          <w:u w:val="single"/>
        </w:rPr>
        <w:t>Indemnification</w:t>
      </w:r>
      <w:r>
        <w:rPr>
          <w:rFonts w:ascii="Times New Roman PS Std;serif" w:hAnsi="Times New Roman PS Std;serif"/>
          <w:b w:val="false"/>
          <w:i w:val="false"/>
          <w:caps w:val="false"/>
          <w:smallCaps w:val="false"/>
          <w:sz w:val="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within 60 days after the institution of any such action, suit or proceeding, such Committee shall, in writing, offer the Company the opportunity at its own expense to handle and defend such action, suit or proceeding.</w:t>
      </w:r>
    </w:p>
    <w:p>
      <w:pPr>
        <w:pStyle w:val="TextBody"/>
        <w:widowControl/>
        <w:pBdr/>
        <w:bidi w:val="0"/>
        <w:spacing w:before="160" w:after="283"/>
        <w:ind w:left="720" w:right="0" w:hanging="0"/>
        <w:jc w:val="both"/>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val="false"/>
          <w:caps w:val="false"/>
          <w:smallCaps w:val="false"/>
          <w:sz w:val="20"/>
          <w:u w:val="single"/>
        </w:rPr>
        <w:t>Shares Subject to the Plan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4.1         Subject to adjustment in accordance with Section 14, an amount of shares of Common Stock equal to (i)</w:t>
      </w:r>
      <w:r>
        <w:rPr>
          <w:caps w:val="false"/>
          <w:smallCaps w:val="false"/>
          <w:color w:val="3953A4"/>
        </w:rPr>
        <w:t xml:space="preserve"> </w:t>
      </w:r>
      <w:r>
        <w:rPr>
          <w:rFonts w:ascii="Times New Roman PS Std;serif" w:hAnsi="Times New Roman PS Std;serif"/>
          <w:b w:val="false"/>
          <w:i w:val="false"/>
          <w:caps w:val="false"/>
          <w:smallCaps w:val="false"/>
          <w:color w:val="3953A4"/>
          <w:sz w:val="20"/>
          <w:u w:val="single"/>
        </w:rPr>
        <w:t xml:space="preserve">five hundred forty-nine thousand </w:t>
      </w:r>
      <w:r>
        <w:rPr>
          <w:rFonts w:ascii="Times New Roman PS Std;serif" w:hAnsi="Times New Roman PS Std;serif"/>
          <w:b w:val="false"/>
          <w:i w:val="false"/>
          <w:caps w:val="false"/>
          <w:smallCaps w:val="false"/>
          <w:strike/>
          <w:color w:val="ED2024"/>
          <w:sz w:val="20"/>
        </w:rPr>
        <w:t>four hundred thirty-four thousand</w:t>
      </w:r>
      <w:r>
        <w:rPr>
          <w:caps w:val="false"/>
          <w:smallCaps w:val="false"/>
          <w:color w:val="ED2024"/>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color w:val="3953A4"/>
          <w:sz w:val="20"/>
          <w:u w:val="single"/>
        </w:rPr>
        <w:t xml:space="preserve">549,000 </w:t>
      </w:r>
      <w:r>
        <w:rPr>
          <w:rFonts w:ascii="Times New Roman PS Std;serif" w:hAnsi="Times New Roman PS Std;serif"/>
          <w:b w:val="false"/>
          <w:i w:val="false"/>
          <w:caps w:val="false"/>
          <w:smallCaps w:val="false"/>
          <w:strike/>
          <w:color w:val="ED2024"/>
          <w:sz w:val="20"/>
        </w:rPr>
        <w:t>434,000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sz w:val="20"/>
        </w:rPr>
        <w:t>plus</w:t>
      </w:r>
      <w:r>
        <w:rPr>
          <w:caps w:val="false"/>
          <w:smallCaps w:val="false"/>
        </w:rPr>
        <w:t> </w:t>
      </w:r>
      <w:r>
        <w:rPr>
          <w:rFonts w:ascii="Times New Roman PS Std;serif" w:hAnsi="Times New Roman PS Std;serif"/>
          <w:b w:val="false"/>
          <w:i w:val="false"/>
          <w:caps w:val="false"/>
          <w:smallCaps w:val="false"/>
          <w:sz w:val="20"/>
        </w:rPr>
        <w:t xml:space="preserve">(ii) the number of shares of Common Stock underlying any award granted under the RYTHM, Inc. 2020 Omnibus Equity Incentive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Plan (the “</w:t>
      </w:r>
      <w:r>
        <w:rPr>
          <w:rFonts w:ascii="Times New Roman PS Std;serif" w:hAnsi="Times New Roman PS Std;serif"/>
          <w:b/>
          <w:i w:val="false"/>
          <w:caps w:val="false"/>
          <w:smallCaps w:val="false"/>
          <w:sz w:val="20"/>
        </w:rPr>
        <w:t>Prior Plan</w:t>
      </w:r>
      <w:r>
        <w:rPr>
          <w:caps w:val="false"/>
          <w:smallCaps w:val="false"/>
        </w:rPr>
        <w:t>”</w:t>
      </w:r>
      <w:r>
        <w:rPr>
          <w:rFonts w:ascii="Times New Roman PS Std;serif" w:hAnsi="Times New Roman PS Std;serif"/>
          <w:b w:val="false"/>
          <w:i w:val="false"/>
          <w:caps w:val="false"/>
          <w:smallCaps w:val="false"/>
          <w:sz w:val="20"/>
        </w:rPr>
        <w:t>) that expires, terminates or is canceled or forfeited under the terms of the Prior Plan shall be available for the grant of Awards under the Plan (the “</w:t>
      </w:r>
      <w:r>
        <w:rPr>
          <w:rFonts w:ascii="Times New Roman PS Std;serif" w:hAnsi="Times New Roman PS Std;serif"/>
          <w:b/>
          <w:i w:val="false"/>
          <w:caps w:val="false"/>
          <w:smallCaps w:val="false"/>
          <w:sz w:val="20"/>
        </w:rPr>
        <w:t>Total Share Reserve</w:t>
      </w:r>
      <w:r>
        <w:rPr>
          <w:caps w:val="false"/>
          <w:smallCaps w:val="false"/>
        </w:rPr>
        <w:t>”</w:t>
      </w:r>
      <w:r>
        <w:rPr>
          <w:rFonts w:ascii="Times New Roman PS Std;serif" w:hAnsi="Times New Roman PS Std;serif"/>
          <w:b w:val="false"/>
          <w:i w:val="false"/>
          <w:caps w:val="false"/>
          <w:smallCaps w:val="false"/>
          <w:sz w:val="20"/>
        </w:rPr>
        <w:t>). During the terms of the Awards, the Company shall keep available at all times the number of shares of Common Stock required to satisfy such Awards.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         Shares of Common Stock available for distribution under the Plan may consist, in whole or in part, of authorized and unissued shares, treasury shares or shares reacquired by the Company in any manner.</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4.3         Subject to adjustment in accordance with Section 14, the maximum number of shares of Common Stock that may be issued in the aggregate pursuant to the exercise of Incentive Stock Options shall be equal to the Total Share Reserve (the </w:t>
      </w:r>
      <w:r>
        <w:rPr>
          <w:caps w:val="false"/>
          <w:smallCaps w:val="false"/>
        </w:rPr>
        <w:t>“</w:t>
      </w:r>
      <w:r>
        <w:rPr>
          <w:rFonts w:ascii="Times New Roman PS Std;serif" w:hAnsi="Times New Roman PS Std;serif"/>
          <w:b/>
          <w:i w:val="false"/>
          <w:caps w:val="false"/>
          <w:smallCaps w:val="false"/>
          <w:sz w:val="20"/>
        </w:rPr>
        <w:t>ISO Limit”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4.5         Awards may, in the sole discretion of the Committee, be granted under the Plan in assumption of, or in substitution for, outstanding awards previously granted by an entity acquired by the Company or with which the Company combines (“</w:t>
      </w:r>
      <w:r>
        <w:rPr>
          <w:rFonts w:ascii="Times New Roman PS Std;serif" w:hAnsi="Times New Roman PS Std;serif"/>
          <w:b/>
          <w:i w:val="false"/>
          <w:caps w:val="false"/>
          <w:smallCaps w:val="false"/>
          <w:sz w:val="20"/>
        </w:rPr>
        <w:t>Substitute Awards</w:t>
      </w:r>
      <w:r>
        <w:rPr>
          <w:caps w:val="false"/>
          <w:smallCaps w:val="false"/>
        </w:rPr>
        <w:t>”</w:t>
      </w:r>
      <w:r>
        <w:rPr>
          <w:rFonts w:ascii="Times New Roman PS Std;serif" w:hAnsi="Times New Roman PS Std;serif"/>
          <w:b w:val="false"/>
          <w:i w:val="false"/>
          <w:caps w:val="false"/>
          <w:smallCaps w:val="false"/>
          <w:sz w:val="20"/>
        </w:rPr>
        <w:t>). Substitute Awards shall not be counted against the Total Share Reserve; </w:t>
      </w:r>
      <w:r>
        <w:rPr>
          <w:rFonts w:ascii="Times New Roman PS Std;serif" w:hAnsi="Times New Roman PS Std;serif"/>
          <w:b w:val="false"/>
          <w:i/>
          <w:sz w:val="20"/>
        </w:rPr>
        <w:t>provided that</w:t>
      </w:r>
      <w:r>
        <w:rPr>
          <w:rFonts w:ascii="Times New Roman PS Std;serif" w:hAnsi="Times New Roman PS Std;serif"/>
          <w:b w:val="false"/>
          <w:i w:val="false"/>
          <w:caps w:val="false"/>
          <w:smallCaps w:val="false"/>
          <w:sz w:val="20"/>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5.           </w:t>
      </w:r>
      <w:r>
        <w:rPr>
          <w:rFonts w:ascii="Times New Roman PS Std;serif" w:hAnsi="Times New Roman PS Std;serif"/>
          <w:b w:val="false"/>
          <w:i w:val="false"/>
          <w:caps w:val="false"/>
          <w:smallCaps w:val="false"/>
          <w:sz w:val="20"/>
          <w:u w:val="single"/>
        </w:rPr>
        <w:t>Eligibility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5.1         </w:t>
      </w:r>
      <w:r>
        <w:rPr>
          <w:rFonts w:ascii="Times New Roman PS Std;serif" w:hAnsi="Times New Roman PS Std;serif"/>
          <w:b w:val="false"/>
          <w:i w:val="false"/>
          <w:caps w:val="false"/>
          <w:smallCaps w:val="false"/>
          <w:sz w:val="20"/>
          <w:u w:val="single"/>
        </w:rPr>
        <w:t>Eligibility for Specific Awards</w:t>
      </w:r>
      <w:r>
        <w:rPr>
          <w:rFonts w:ascii="Times New Roman PS Std;serif" w:hAnsi="Times New Roman PS Std;serif"/>
          <w:b w:val="false"/>
          <w:i w:val="false"/>
          <w:caps w:val="false"/>
          <w:smallCaps w:val="false"/>
          <w:sz w:val="20"/>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5.2         </w:t>
      </w:r>
      <w:r>
        <w:rPr>
          <w:rFonts w:ascii="Times New Roman PS Std;serif" w:hAnsi="Times New Roman PS Std;serif"/>
          <w:b w:val="false"/>
          <w:i w:val="false"/>
          <w:caps w:val="false"/>
          <w:smallCaps w:val="false"/>
          <w:sz w:val="20"/>
          <w:u w:val="single"/>
        </w:rPr>
        <w:t>Ten Percent Shareholders</w:t>
      </w:r>
      <w:r>
        <w:rPr>
          <w:rFonts w:ascii="Times New Roman PS Std;serif" w:hAnsi="Times New Roman PS Std;serif"/>
          <w:b w:val="false"/>
          <w:i w:val="false"/>
          <w:caps w:val="false"/>
          <w:smallCaps w:val="false"/>
          <w:sz w:val="20"/>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6.           </w:t>
      </w:r>
      <w:r>
        <w:rPr>
          <w:rFonts w:ascii="Times New Roman PS Std;serif" w:hAnsi="Times New Roman PS Std;serif"/>
          <w:b w:val="false"/>
          <w:i w:val="false"/>
          <w:caps w:val="false"/>
          <w:smallCaps w:val="false"/>
          <w:sz w:val="20"/>
          <w:u w:val="single"/>
        </w:rPr>
        <w:t>Option Provisions</w:t>
      </w:r>
      <w:r>
        <w:rPr>
          <w:rFonts w:ascii="Times New Roman PS Std;serif" w:hAnsi="Times New Roman PS Std;serif"/>
          <w:b w:val="false"/>
          <w:i w:val="false"/>
          <w:caps w:val="false"/>
          <w:smallCaps w:val="false"/>
          <w:sz w:val="20"/>
        </w:rPr>
        <w:t>.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6.1         </w:t>
      </w:r>
      <w:r>
        <w:rPr>
          <w:rFonts w:ascii="Times New Roman PS Std;serif" w:hAnsi="Times New Roman PS Std;serif"/>
          <w:b w:val="false"/>
          <w:i w:val="false"/>
          <w:caps w:val="false"/>
          <w:smallCaps w:val="false"/>
          <w:sz w:val="20"/>
          <w:u w:val="single"/>
        </w:rPr>
        <w:t>Term</w:t>
      </w:r>
      <w:r>
        <w:rPr>
          <w:rFonts w:ascii="Times New Roman PS Std;serif" w:hAnsi="Times New Roman PS Std;serif"/>
          <w:b w:val="false"/>
          <w:i w:val="false"/>
          <w:caps w:val="false"/>
          <w:smallCaps w:val="false"/>
          <w:sz w:val="20"/>
        </w:rPr>
        <w:t>.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no Non-qualified Stock Option shall be exercisable after the expiration of 10 years from the Grant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6.2         </w:t>
      </w:r>
      <w:r>
        <w:rPr>
          <w:rFonts w:ascii="Times New Roman PS Std;serif" w:hAnsi="Times New Roman PS Std;serif"/>
          <w:b w:val="false"/>
          <w:i w:val="false"/>
          <w:caps w:val="false"/>
          <w:smallCaps w:val="false"/>
          <w:sz w:val="20"/>
          <w:u w:val="single"/>
        </w:rPr>
        <w:t>Exercise Price of an Incentive Stock Option</w:t>
      </w:r>
      <w:r>
        <w:rPr>
          <w:rFonts w:ascii="Times New Roman PS Std;serif" w:hAnsi="Times New Roman PS Std;serif"/>
          <w:b w:val="false"/>
          <w:i w:val="false"/>
          <w:caps w:val="false"/>
          <w:smallCaps w:val="false"/>
          <w:sz w:val="20"/>
        </w:rPr>
        <w:t>.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6.3         </w:t>
      </w:r>
      <w:r>
        <w:rPr>
          <w:rFonts w:ascii="Times New Roman PS Std;serif" w:hAnsi="Times New Roman PS Std;serif"/>
          <w:b w:val="false"/>
          <w:i w:val="false"/>
          <w:caps w:val="false"/>
          <w:smallCaps w:val="false"/>
          <w:sz w:val="20"/>
          <w:u w:val="single"/>
        </w:rPr>
        <w:t>Exercise Price of a Non-qualified Stock Option</w:t>
      </w:r>
      <w:r>
        <w:rPr>
          <w:rFonts w:ascii="Times New Roman PS Std;serif" w:hAnsi="Times New Roman PS Std;serif"/>
          <w:b w:val="false"/>
          <w:i w:val="false"/>
          <w:caps w:val="false"/>
          <w:smallCaps w:val="false"/>
          <w:sz w:val="20"/>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6.4         </w:t>
      </w:r>
      <w:r>
        <w:rPr>
          <w:rFonts w:ascii="Times New Roman PS Std;serif" w:hAnsi="Times New Roman PS Std;serif"/>
          <w:b w:val="false"/>
          <w:i w:val="false"/>
          <w:caps w:val="false"/>
          <w:smallCaps w:val="false"/>
          <w:sz w:val="20"/>
          <w:u w:val="single"/>
        </w:rPr>
        <w:t>Consideration</w:t>
      </w:r>
      <w:r>
        <w:rPr>
          <w:rFonts w:ascii="Times New Roman PS Std;serif" w:hAnsi="Times New Roman PS Std;serif"/>
          <w:b w:val="false"/>
          <w:i w:val="false"/>
          <w:caps w:val="false"/>
          <w:smallCaps w:val="false"/>
          <w:sz w:val="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PS Std;serif" w:hAnsi="Times New Roman PS Std;serif"/>
          <w:b/>
          <w:i w:val="false"/>
          <w:caps w:val="false"/>
          <w:smallCaps w:val="false"/>
          <w:sz w:val="20"/>
        </w:rPr>
        <w:t>Stock for Stock Exchange</w:t>
      </w:r>
      <w:r>
        <w:rPr>
          <w:caps w:val="false"/>
          <w:smallCaps w:val="false"/>
        </w:rPr>
        <w:t>”</w:t>
      </w:r>
      <w:r>
        <w:rPr>
          <w:rFonts w:ascii="Times New Roman PS Std;serif" w:hAnsi="Times New Roman PS Std;serif"/>
          <w:b w:val="false"/>
          <w:i w:val="false"/>
          <w:caps w:val="false"/>
          <w:smallCaps w:val="false"/>
          <w:sz w:val="20"/>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6.5         </w:t>
      </w:r>
      <w:r>
        <w:rPr>
          <w:rFonts w:ascii="Times New Roman PS Std;serif" w:hAnsi="Times New Roman PS Std;serif"/>
          <w:b w:val="false"/>
          <w:i w:val="false"/>
          <w:caps w:val="false"/>
          <w:smallCaps w:val="false"/>
          <w:sz w:val="20"/>
          <w:u w:val="single"/>
        </w:rPr>
        <w:t>Transferability of an Incentive Stock Option</w:t>
      </w:r>
      <w:r>
        <w:rPr>
          <w:rFonts w:ascii="Times New Roman PS Std;serif" w:hAnsi="Times New Roman PS Std;serif"/>
          <w:b w:val="false"/>
          <w:i w:val="false"/>
          <w:caps w:val="false"/>
          <w:smallCaps w:val="false"/>
          <w:sz w:val="20"/>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6.6         </w:t>
      </w:r>
      <w:r>
        <w:rPr>
          <w:rFonts w:ascii="Times New Roman PS Std;serif" w:hAnsi="Times New Roman PS Std;serif"/>
          <w:b w:val="false"/>
          <w:i w:val="false"/>
          <w:caps w:val="false"/>
          <w:smallCaps w:val="false"/>
          <w:sz w:val="20"/>
          <w:u w:val="single"/>
        </w:rPr>
        <w:t>Transferability of a Non-qualified Stock Option</w:t>
      </w:r>
      <w:r>
        <w:rPr>
          <w:rFonts w:ascii="Times New Roman PS Std;serif" w:hAnsi="Times New Roman PS Std;serif"/>
          <w:b w:val="false"/>
          <w:i w:val="false"/>
          <w:caps w:val="false"/>
          <w:smallCaps w:val="false"/>
          <w:sz w:val="20"/>
        </w:rPr>
        <w:t>.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6.7         </w:t>
      </w:r>
      <w:r>
        <w:rPr>
          <w:rFonts w:ascii="Times New Roman PS Std;serif" w:hAnsi="Times New Roman PS Std;serif"/>
          <w:b w:val="false"/>
          <w:i w:val="false"/>
          <w:caps w:val="false"/>
          <w:smallCaps w:val="false"/>
          <w:sz w:val="20"/>
          <w:u w:val="single"/>
        </w:rPr>
        <w:t>Vesting of Options</w:t>
      </w:r>
      <w:r>
        <w:rPr>
          <w:rFonts w:ascii="Times New Roman PS Std;serif" w:hAnsi="Times New Roman PS Std;serif"/>
          <w:b w:val="false"/>
          <w:i w:val="false"/>
          <w:caps w:val="false"/>
          <w:smallCaps w:val="false"/>
          <w:sz w:val="20"/>
        </w:rPr>
        <w:t>.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6.8         </w:t>
      </w:r>
      <w:r>
        <w:rPr>
          <w:rFonts w:ascii="Times New Roman PS Std;serif" w:hAnsi="Times New Roman PS Std;serif"/>
          <w:b w:val="false"/>
          <w:i w:val="false"/>
          <w:caps w:val="false"/>
          <w:smallCaps w:val="false"/>
          <w:sz w:val="20"/>
          <w:u w:val="single"/>
        </w:rPr>
        <w:t>Termination of Continuous Service</w:t>
      </w:r>
      <w:r>
        <w:rPr>
          <w:rFonts w:ascii="Times New Roman PS Std;serif" w:hAnsi="Times New Roman PS Std;serif"/>
          <w:b w:val="false"/>
          <w:i w:val="false"/>
          <w:caps w:val="false"/>
          <w:smallCaps w:val="false"/>
          <w:sz w:val="20"/>
        </w:rPr>
        <w:t>.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6.9         </w:t>
      </w:r>
      <w:r>
        <w:rPr>
          <w:rFonts w:ascii="Times New Roman PS Std;serif" w:hAnsi="Times New Roman PS Std;serif"/>
          <w:b w:val="false"/>
          <w:i w:val="false"/>
          <w:caps w:val="false"/>
          <w:smallCaps w:val="false"/>
          <w:sz w:val="20"/>
          <w:u w:val="single"/>
        </w:rPr>
        <w:t>Extension of Termination Date</w:t>
      </w:r>
      <w:r>
        <w:rPr>
          <w:rFonts w:ascii="Times New Roman PS Std;serif" w:hAnsi="Times New Roman PS Std;serif"/>
          <w:b w:val="false"/>
          <w:i w:val="false"/>
          <w:caps w:val="false"/>
          <w:smallCaps w:val="false"/>
          <w:sz w:val="20"/>
        </w:rPr>
        <w:t>.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6.10       </w:t>
      </w:r>
      <w:r>
        <w:rPr>
          <w:rFonts w:ascii="Times New Roman PS Std;serif" w:hAnsi="Times New Roman PS Std;serif"/>
          <w:b w:val="false"/>
          <w:i w:val="false"/>
          <w:caps w:val="false"/>
          <w:smallCaps w:val="false"/>
          <w:sz w:val="20"/>
          <w:u w:val="single"/>
        </w:rPr>
        <w:t>Incentive Stock Option $100,000 Limitation</w:t>
      </w:r>
      <w:r>
        <w:rPr>
          <w:rFonts w:ascii="Times New Roman PS Std;serif" w:hAnsi="Times New Roman PS Std;serif"/>
          <w:b w:val="false"/>
          <w:i w:val="false"/>
          <w:caps w:val="false"/>
          <w:smallCaps w:val="false"/>
          <w:sz w:val="20"/>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7.           </w:t>
      </w:r>
      <w:r>
        <w:rPr>
          <w:rFonts w:ascii="Times New Roman PS Std;serif" w:hAnsi="Times New Roman PS Std;serif"/>
          <w:b w:val="false"/>
          <w:i w:val="false"/>
          <w:caps w:val="false"/>
          <w:smallCaps w:val="false"/>
          <w:sz w:val="20"/>
          <w:u w:val="single"/>
        </w:rPr>
        <w:t>Stock Appreciation Rights</w:t>
      </w:r>
      <w:r>
        <w:rPr>
          <w:rFonts w:ascii="Times New Roman PS Std;serif" w:hAnsi="Times New Roman PS Std;serif"/>
          <w:b w:val="false"/>
          <w:i w:val="false"/>
          <w:caps w:val="false"/>
          <w:smallCaps w:val="false"/>
          <w:sz w:val="20"/>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PS Std;serif" w:hAnsi="Times New Roman PS Std;serif"/>
          <w:b/>
          <w:i w:val="false"/>
          <w:caps w:val="false"/>
          <w:smallCaps w:val="false"/>
          <w:sz w:val="20"/>
        </w:rPr>
        <w:t>Free Standing Rights</w:t>
      </w:r>
      <w:r>
        <w:rPr>
          <w:caps w:val="false"/>
          <w:smallCaps w:val="false"/>
        </w:rPr>
        <w:t>”</w:t>
      </w:r>
      <w:r>
        <w:rPr>
          <w:rFonts w:ascii="Times New Roman PS Std;serif" w:hAnsi="Times New Roman PS Std;serif"/>
          <w:b w:val="false"/>
          <w:i w:val="false"/>
          <w:caps w:val="false"/>
          <w:smallCaps w:val="false"/>
          <w:sz w:val="20"/>
        </w:rPr>
        <w:t>) or in tandem with an Option granted under the Plan (“</w:t>
      </w:r>
      <w:r>
        <w:rPr>
          <w:rFonts w:ascii="Times New Roman PS Std;serif" w:hAnsi="Times New Roman PS Std;serif"/>
          <w:b/>
          <w:i w:val="false"/>
          <w:caps w:val="false"/>
          <w:smallCaps w:val="false"/>
          <w:sz w:val="20"/>
        </w:rPr>
        <w:t>Related Rights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7.1         </w:t>
      </w:r>
      <w:r>
        <w:rPr>
          <w:rFonts w:ascii="Times New Roman PS Std;serif" w:hAnsi="Times New Roman PS Std;serif"/>
          <w:b w:val="false"/>
          <w:i w:val="false"/>
          <w:caps w:val="false"/>
          <w:smallCaps w:val="false"/>
          <w:sz w:val="20"/>
          <w:u w:val="single"/>
        </w:rPr>
        <w:t>Grant Requirements for Related Rights</w:t>
      </w:r>
      <w:r>
        <w:rPr>
          <w:rFonts w:ascii="Times New Roman PS Std;serif" w:hAnsi="Times New Roman PS Std;serif"/>
          <w:b w:val="false"/>
          <w:i w:val="false"/>
          <w:caps w:val="false"/>
          <w:smallCaps w:val="false"/>
          <w:sz w:val="20"/>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7.2         </w:t>
      </w:r>
      <w:r>
        <w:rPr>
          <w:rFonts w:ascii="Times New Roman PS Std;serif" w:hAnsi="Times New Roman PS Std;serif"/>
          <w:b w:val="false"/>
          <w:i w:val="false"/>
          <w:caps w:val="false"/>
          <w:smallCaps w:val="false"/>
          <w:sz w:val="20"/>
          <w:u w:val="single"/>
        </w:rPr>
        <w:t>Term</w:t>
      </w:r>
      <w:r>
        <w:rPr>
          <w:caps w:val="false"/>
          <w:smallCaps w:val="false"/>
        </w:rPr>
        <w:t> </w:t>
      </w:r>
      <w:r>
        <w:rPr>
          <w:rFonts w:ascii="Times New Roman PS Std;serif" w:hAnsi="Times New Roman PS Std;serif"/>
          <w:b w:val="false"/>
          <w:i w:val="false"/>
          <w:caps w:val="false"/>
          <w:smallCaps w:val="false"/>
          <w:sz w:val="20"/>
        </w:rPr>
        <w:t>The term of a Stock Appreciation Right granted under the Plan shall be determined by the Committee;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no Stock Appreciation Right shall be exercisable later than the tenth anniversary of the Grant Date.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7.3         </w:t>
      </w:r>
      <w:r>
        <w:rPr>
          <w:rFonts w:ascii="Times New Roman PS Std;serif" w:hAnsi="Times New Roman PS Std;serif"/>
          <w:b w:val="false"/>
          <w:i w:val="false"/>
          <w:caps w:val="false"/>
          <w:smallCaps w:val="false"/>
          <w:sz w:val="20"/>
          <w:u w:val="single"/>
        </w:rPr>
        <w:t>Vesting</w:t>
      </w:r>
    </w:p>
    <w:p>
      <w:pPr>
        <w:pStyle w:val="TextBody"/>
        <w:widowControl/>
        <w:pBdr/>
        <w:bidi w:val="0"/>
        <w:spacing w:before="160" w:after="283"/>
        <w:ind w:left="72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7.4         </w:t>
      </w:r>
      <w:r>
        <w:rPr>
          <w:rFonts w:ascii="Times New Roman PS Std;serif" w:hAnsi="Times New Roman PS Std;serif"/>
          <w:b w:val="false"/>
          <w:i w:val="false"/>
          <w:caps w:val="false"/>
          <w:smallCaps w:val="false"/>
          <w:sz w:val="20"/>
          <w:u w:val="single"/>
        </w:rPr>
        <w:t>Exercise and Payment </w:t>
      </w:r>
      <w:r>
        <w:rPr>
          <w:rFonts w:ascii="Times New Roman PS Std;serif" w:hAnsi="Times New Roman PS Std;serif"/>
          <w:b w:val="false"/>
          <w:i w:val="false"/>
          <w:caps w:val="false"/>
          <w:smallCaps w:val="false"/>
          <w:sz w:val="20"/>
        </w:rPr>
        <w:t>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7.5         </w:t>
      </w:r>
      <w:r>
        <w:rPr>
          <w:rFonts w:ascii="Times New Roman PS Std;serif" w:hAnsi="Times New Roman PS Std;serif"/>
          <w:b w:val="false"/>
          <w:i w:val="false"/>
          <w:caps w:val="false"/>
          <w:smallCaps w:val="false"/>
          <w:sz w:val="20"/>
          <w:u w:val="single"/>
        </w:rPr>
        <w:t>Exercise Price</w:t>
      </w:r>
      <w:r>
        <w:rPr>
          <w:caps w:val="false"/>
          <w:smallCaps w:val="false"/>
        </w:rPr>
        <w:t> </w:t>
      </w:r>
      <w:r>
        <w:rPr>
          <w:rFonts w:ascii="Times New Roman PS Std;serif" w:hAnsi="Times New Roman PS Std;serif"/>
          <w:b w:val="false"/>
          <w:i w:val="false"/>
          <w:caps w:val="false"/>
          <w:smallCaps w:val="false"/>
          <w:sz w:val="20"/>
        </w:rPr>
        <w:t>The exercise price of a Free Standing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Section 7.1 are satisfied.</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7.6         </w:t>
      </w:r>
      <w:r>
        <w:rPr>
          <w:rFonts w:ascii="Times New Roman PS Std;serif" w:hAnsi="Times New Roman PS Std;serif"/>
          <w:b w:val="false"/>
          <w:i w:val="false"/>
          <w:caps w:val="false"/>
          <w:smallCaps w:val="false"/>
          <w:sz w:val="20"/>
          <w:u w:val="single"/>
        </w:rPr>
        <w:t>Reduction in the Underlying Option Shares</w:t>
      </w:r>
      <w:r>
        <w:rPr>
          <w:caps w:val="false"/>
          <w:smallCaps w:val="false"/>
        </w:rPr>
        <w:t> </w:t>
      </w:r>
      <w:r>
        <w:rPr>
          <w:rFonts w:ascii="Times New Roman PS Std;serif" w:hAnsi="Times New Roman PS Std;serif"/>
          <w:b w:val="false"/>
          <w:i w:val="false"/>
          <w:caps w:val="false"/>
          <w:smallCaps w:val="false"/>
          <w:sz w:val="20"/>
        </w:rPr>
        <w:t>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8.           </w:t>
      </w:r>
      <w:r>
        <w:rPr>
          <w:rFonts w:ascii="Times New Roman PS Std;serif" w:hAnsi="Times New Roman PS Std;serif"/>
          <w:b w:val="false"/>
          <w:i w:val="false"/>
          <w:caps w:val="false"/>
          <w:smallCaps w:val="false"/>
          <w:sz w:val="20"/>
          <w:u w:val="single"/>
        </w:rPr>
        <w:t>Restricted Awards</w:t>
      </w:r>
      <w:r>
        <w:rPr>
          <w:caps w:val="false"/>
          <w:smallCaps w:val="false"/>
        </w:rPr>
        <w:t> </w:t>
      </w:r>
      <w:r>
        <w:rPr>
          <w:rFonts w:ascii="Times New Roman PS Std;serif" w:hAnsi="Times New Roman PS Std;serif"/>
          <w:b w:val="false"/>
          <w:i w:val="false"/>
          <w:caps w:val="false"/>
          <w:smallCaps w:val="false"/>
          <w:sz w:val="20"/>
        </w:rPr>
        <w:t>A Restricted Award is an Award of actual shares of Common Stock (“</w:t>
      </w:r>
      <w:r>
        <w:rPr>
          <w:rFonts w:ascii="Times New Roman PS Std;serif" w:hAnsi="Times New Roman PS Std;serif"/>
          <w:b/>
          <w:i w:val="false"/>
          <w:caps w:val="false"/>
          <w:smallCaps w:val="false"/>
          <w:sz w:val="20"/>
        </w:rPr>
        <w:t>Restricted Stock</w:t>
      </w:r>
      <w:r>
        <w:rPr>
          <w:caps w:val="false"/>
          <w:smallCaps w:val="false"/>
        </w:rPr>
        <w:t>”</w:t>
      </w:r>
      <w:r>
        <w:rPr>
          <w:rFonts w:ascii="Times New Roman PS Std;serif" w:hAnsi="Times New Roman PS Std;serif"/>
          <w:b w:val="false"/>
          <w:i w:val="false"/>
          <w:caps w:val="false"/>
          <w:smallCaps w:val="false"/>
          <w:sz w:val="20"/>
        </w:rPr>
        <w:t>) or hypothetical Common Stock units (“</w:t>
      </w:r>
      <w:r>
        <w:rPr>
          <w:rFonts w:ascii="Times New Roman PS Std;serif" w:hAnsi="Times New Roman PS Std;serif"/>
          <w:b/>
          <w:i w:val="false"/>
          <w:caps w:val="false"/>
          <w:smallCaps w:val="false"/>
          <w:sz w:val="20"/>
        </w:rPr>
        <w:t>Restricted Stock Units</w:t>
      </w:r>
      <w:r>
        <w:rPr>
          <w:caps w:val="false"/>
          <w:smallCaps w:val="false"/>
        </w:rPr>
        <w:t>”</w:t>
      </w:r>
      <w:r>
        <w:rPr>
          <w:rFonts w:ascii="Times New Roman PS Std;serif" w:hAnsi="Times New Roman PS Std;serif"/>
          <w:b w:val="false"/>
          <w:i w:val="false"/>
          <w:caps w:val="false"/>
          <w:smallCaps w:val="false"/>
          <w:sz w:val="20"/>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PS Std;serif" w:hAnsi="Times New Roman PS Std;serif"/>
          <w:b/>
          <w:i w:val="false"/>
          <w:caps w:val="false"/>
          <w:smallCaps w:val="false"/>
          <w:sz w:val="20"/>
        </w:rPr>
        <w:t>Restricted Period</w:t>
      </w:r>
      <w:r>
        <w:rPr>
          <w:caps w:val="false"/>
          <w:smallCaps w:val="false"/>
        </w:rPr>
        <w:t>”</w:t>
      </w:r>
      <w:r>
        <w:rPr>
          <w:rFonts w:ascii="Times New Roman PS Std;serif" w:hAnsi="Times New Roman PS Std;serif"/>
          <w:b w:val="false"/>
          <w:i w:val="false"/>
          <w:caps w:val="false"/>
          <w:smallCaps w:val="false"/>
          <w:sz w:val="20"/>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8.1         </w:t>
      </w:r>
      <w:r>
        <w:rPr>
          <w:rFonts w:ascii="Times New Roman PS Std;serif" w:hAnsi="Times New Roman PS Std;serif"/>
          <w:b w:val="false"/>
          <w:i w:val="false"/>
          <w:caps w:val="false"/>
          <w:smallCaps w:val="false"/>
          <w:sz w:val="20"/>
          <w:u w:val="single"/>
        </w:rPr>
        <w:t>Restricted Stock and Restricted Stock Units</w:t>
      </w:r>
    </w:p>
    <w:p>
      <w:pPr>
        <w:pStyle w:val="TextBody"/>
        <w:widowControl/>
        <w:pBdr/>
        <w:bidi w:val="0"/>
        <w:spacing w:before="160" w:after="283"/>
        <w:ind w:left="1440" w:right="0" w:firstLine="720"/>
        <w:jc w:val="both"/>
        <w:rPr/>
      </w:pPr>
      <w:r>
        <w:rPr>
          <w:rFonts w:ascii="Times New Roman PS Std;serif" w:hAnsi="Times New Roman PS Std;serif"/>
          <w:b w:val="false"/>
          <w:i w:val="false"/>
          <w:caps w:val="false"/>
          <w:smallCaps w:val="false"/>
          <w:sz w:val="20"/>
        </w:rPr>
        <w:t>(a)         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Participant shall not have the right to receive dividends on any unvested shares of Restricted Stock.</w:t>
      </w:r>
    </w:p>
    <w:p>
      <w:pPr>
        <w:pStyle w:val="TextBody"/>
        <w:widowControl/>
        <w:pBdr/>
        <w:bidi w:val="0"/>
        <w:spacing w:before="160" w:after="283"/>
        <w:ind w:left="1440" w:right="0" w:firstLine="720"/>
        <w:jc w:val="both"/>
        <w:rPr/>
      </w:pPr>
      <w:r>
        <w:rPr>
          <w:rFonts w:ascii="Times New Roman PS Std;serif" w:hAnsi="Times New Roman PS Std;serif"/>
          <w:b w:val="false"/>
          <w:i w:val="false"/>
          <w:caps w:val="false"/>
          <w:smallCaps w:val="false"/>
          <w:sz w:val="20"/>
        </w:rPr>
        <w:t>(b)         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PS Std;serif" w:hAnsi="Times New Roman PS Std;serif"/>
          <w:b/>
          <w:i w:val="false"/>
          <w:caps w:val="false"/>
          <w:smallCaps w:val="false"/>
          <w:sz w:val="20"/>
        </w:rPr>
        <w:t>Deferred Stock Units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8.2         </w:t>
      </w:r>
      <w:r>
        <w:rPr>
          <w:rFonts w:ascii="Times New Roman PS Std;serif" w:hAnsi="Times New Roman PS Std;serif"/>
          <w:b w:val="false"/>
          <w:i w:val="false"/>
          <w:caps w:val="false"/>
          <w:smallCaps w:val="false"/>
          <w:sz w:val="20"/>
          <w:u w:val="single"/>
        </w:rPr>
        <w:t>Restrictions</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are forfeited, the stock certificates shall be returned to the Company, and all rights of the Participant to such shares and as a shareholder with respect to such shares shall terminate without further obligation on the part of the Company.</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8.3         </w:t>
      </w:r>
      <w:r>
        <w:rPr>
          <w:rFonts w:ascii="Times New Roman PS Std;serif" w:hAnsi="Times New Roman PS Std;serif"/>
          <w:b w:val="false"/>
          <w:i w:val="false"/>
          <w:caps w:val="false"/>
          <w:smallCaps w:val="false"/>
          <w:sz w:val="20"/>
          <w:u w:val="single"/>
        </w:rPr>
        <w:t>Restricted Period</w:t>
      </w:r>
    </w:p>
    <w:p>
      <w:pPr>
        <w:pStyle w:val="TextBody"/>
        <w:widowControl/>
        <w:pBdr/>
        <w:bidi w:val="0"/>
        <w:spacing w:before="160" w:after="283"/>
        <w:ind w:left="144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8.4         </w:t>
      </w:r>
      <w:r>
        <w:rPr>
          <w:rFonts w:ascii="Times New Roman PS Std;serif" w:hAnsi="Times New Roman PS Std;serif"/>
          <w:b w:val="false"/>
          <w:i w:val="false"/>
          <w:caps w:val="false"/>
          <w:smallCaps w:val="false"/>
          <w:sz w:val="20"/>
          <w:u w:val="single"/>
        </w:rPr>
        <w:t>Delivery of Restricted Stock and Settlement of Restricted Stock Units</w:t>
      </w:r>
      <w:r>
        <w:rPr>
          <w:caps w:val="false"/>
          <w:smallCaps w:val="false"/>
        </w:rPr>
        <w:t> </w:t>
      </w:r>
      <w:r>
        <w:rPr>
          <w:rFonts w:ascii="Times New Roman PS Std;serif" w:hAnsi="Times New Roman PS Std;serif"/>
          <w:b w:val="false"/>
          <w:i w:val="false"/>
          <w:caps w:val="false"/>
          <w:smallCaps w:val="false"/>
          <w:sz w:val="20"/>
        </w:rPr>
        <w:t>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PS Std;serif" w:hAnsi="Times New Roman PS Std;serif"/>
          <w:b/>
          <w:i w:val="false"/>
          <w:caps w:val="false"/>
          <w:smallCaps w:val="false"/>
          <w:sz w:val="20"/>
        </w:rPr>
        <w:t>Vested Unit</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8.5         </w:t>
      </w:r>
      <w:r>
        <w:rPr>
          <w:rFonts w:ascii="Times New Roman PS Std;serif" w:hAnsi="Times New Roman PS Std;serif"/>
          <w:b w:val="false"/>
          <w:i w:val="false"/>
          <w:caps w:val="false"/>
          <w:smallCaps w:val="false"/>
          <w:sz w:val="20"/>
          <w:u w:val="single"/>
        </w:rPr>
        <w:t>Stock Restrictions</w:t>
      </w:r>
      <w:r>
        <w:rPr>
          <w:caps w:val="false"/>
          <w:smallCaps w:val="false"/>
        </w:rPr>
        <w:t> </w:t>
      </w:r>
      <w:r>
        <w:rPr>
          <w:rFonts w:ascii="Times New Roman PS Std;serif" w:hAnsi="Times New Roman PS Std;serif"/>
          <w:b w:val="false"/>
          <w:i w:val="false"/>
          <w:caps w:val="false"/>
          <w:smallCaps w:val="false"/>
          <w:sz w:val="20"/>
        </w:rPr>
        <w:t>Each certificate representing Restricted Stock awarded under the Plan shall bear a legend in such form as the Company deems appropriate.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9.           </w:t>
      </w:r>
      <w:r>
        <w:rPr>
          <w:rFonts w:ascii="Times New Roman PS Std;serif" w:hAnsi="Times New Roman PS Std;serif"/>
          <w:b w:val="false"/>
          <w:i w:val="false"/>
          <w:caps w:val="false"/>
          <w:smallCaps w:val="false"/>
          <w:sz w:val="20"/>
          <w:u w:val="single"/>
        </w:rPr>
        <w:t>Performance Share Awards</w:t>
      </w:r>
      <w:r>
        <w:rPr>
          <w:caps w:val="false"/>
          <w:smallCaps w:val="false"/>
        </w:rPr>
        <w:t> </w:t>
      </w:r>
      <w:r>
        <w:rPr>
          <w:rFonts w:ascii="Times New Roman PS Std;serif" w:hAnsi="Times New Roman PS Std;serif"/>
          <w:b w:val="false"/>
          <w:i w:val="false"/>
          <w:caps w:val="false"/>
          <w:smallCaps w:val="false"/>
          <w:sz w:val="20"/>
        </w:rPr>
        <w:t>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9.1         </w:t>
      </w:r>
      <w:r>
        <w:rPr>
          <w:rFonts w:ascii="Times New Roman PS Std;serif" w:hAnsi="Times New Roman PS Std;serif"/>
          <w:b w:val="false"/>
          <w:i w:val="false"/>
          <w:caps w:val="false"/>
          <w:smallCaps w:val="false"/>
          <w:sz w:val="20"/>
          <w:u w:val="single"/>
        </w:rPr>
        <w:t>Earning Performance Share Awards</w:t>
      </w:r>
      <w:r>
        <w:rPr>
          <w:caps w:val="false"/>
          <w:smallCaps w:val="false"/>
        </w:rPr>
        <w:t> </w:t>
      </w:r>
      <w:r>
        <w:rPr>
          <w:rFonts w:ascii="Times New Roman PS Std;serif" w:hAnsi="Times New Roman PS Std;serif"/>
          <w:b w:val="false"/>
          <w:i w:val="false"/>
          <w:caps w:val="false"/>
          <w:smallCaps w:val="false"/>
          <w:sz w:val="20"/>
        </w:rPr>
        <w:t>The number of Performance Shares earned by a Participant will depend on the extent to which the performance goals established by the Committee are attained within the applicable Performance Period, as determined by the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10.         </w:t>
      </w:r>
      <w:r>
        <w:rPr>
          <w:rFonts w:ascii="Times New Roman PS Std;serif" w:hAnsi="Times New Roman PS Std;serif"/>
          <w:b w:val="false"/>
          <w:i w:val="false"/>
          <w:caps w:val="false"/>
          <w:smallCaps w:val="false"/>
          <w:sz w:val="20"/>
          <w:u w:val="single"/>
        </w:rPr>
        <w:t>Other Equity-Based Awards and Cash Awards</w:t>
      </w:r>
      <w:r>
        <w:rPr>
          <w:caps w:val="false"/>
          <w:smallCaps w:val="false"/>
        </w:rPr>
        <w:t> </w:t>
      </w:r>
      <w:r>
        <w:rPr>
          <w:rFonts w:ascii="Times New Roman PS Std;serif" w:hAnsi="Times New Roman PS Std;serif"/>
          <w:b w:val="false"/>
          <w:i w:val="false"/>
          <w:caps w:val="false"/>
          <w:smallCaps w:val="false"/>
          <w:sz w:val="20"/>
        </w:rPr>
        <w:t>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Securities Law Compliance</w:t>
      </w:r>
      <w:r>
        <w:rPr>
          <w:rFonts w:ascii="Times New Roman PS Std;serif" w:hAnsi="Times New Roman PS Std;serif"/>
          <w:b w:val="false"/>
          <w:i w:val="false"/>
          <w:caps w:val="false"/>
          <w:smallCaps w:val="false"/>
          <w:sz w:val="20"/>
        </w:rPr>
        <w:t>.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Use of Proceeds from Stock</w:t>
      </w:r>
      <w:r>
        <w:rPr>
          <w:rFonts w:ascii="Times New Roman PS Std;serif" w:hAnsi="Times New Roman PS Std;serif"/>
          <w:b w:val="false"/>
          <w:i w:val="false"/>
          <w:caps w:val="false"/>
          <w:smallCaps w:val="false"/>
          <w:sz w:val="20"/>
        </w:rPr>
        <w:t>. Proceeds from the sale of Common Stock pursuant to Awards, or upon exercise thereof, shall constitute general funds of the Company.</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13.         </w:t>
      </w:r>
      <w:r>
        <w:rPr>
          <w:rFonts w:ascii="Times New Roman PS Std;serif" w:hAnsi="Times New Roman PS Std;serif"/>
          <w:b w:val="false"/>
          <w:i w:val="false"/>
          <w:caps w:val="false"/>
          <w:smallCaps w:val="false"/>
          <w:sz w:val="20"/>
          <w:u w:val="single"/>
        </w:rPr>
        <w:t>Miscellaneous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13.1       </w:t>
      </w:r>
      <w:r>
        <w:rPr>
          <w:rFonts w:ascii="Times New Roman PS Std;serif" w:hAnsi="Times New Roman PS Std;serif"/>
          <w:b w:val="false"/>
          <w:i w:val="false"/>
          <w:caps w:val="false"/>
          <w:smallCaps w:val="false"/>
          <w:sz w:val="20"/>
          <w:u w:val="single"/>
        </w:rPr>
        <w:t>Acceleration of Exercisability and Vesting</w:t>
      </w:r>
      <w:r>
        <w:rPr>
          <w:rFonts w:ascii="Times New Roman PS Std;serif" w:hAnsi="Times New Roman PS Std;serif"/>
          <w:b w:val="false"/>
          <w:i w:val="false"/>
          <w:caps w:val="false"/>
          <w:smallCaps w:val="false"/>
          <w:sz w:val="20"/>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13.2       </w:t>
      </w:r>
      <w:r>
        <w:rPr>
          <w:rFonts w:ascii="Times New Roman PS Std;serif" w:hAnsi="Times New Roman PS Std;serif"/>
          <w:b w:val="false"/>
          <w:i w:val="false"/>
          <w:caps w:val="false"/>
          <w:smallCaps w:val="false"/>
          <w:sz w:val="20"/>
          <w:u w:val="single"/>
        </w:rPr>
        <w:t>Shareholder Rights</w:t>
      </w:r>
      <w:r>
        <w:rPr>
          <w:rFonts w:ascii="Times New Roman PS Std;serif" w:hAnsi="Times New Roman PS Std;serif"/>
          <w:b w:val="false"/>
          <w:i w:val="false"/>
          <w:caps w:val="false"/>
          <w:smallCaps w:val="false"/>
          <w:sz w:val="20"/>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13.3       </w:t>
      </w:r>
      <w:r>
        <w:rPr>
          <w:rFonts w:ascii="Times New Roman PS Std;serif" w:hAnsi="Times New Roman PS Std;serif"/>
          <w:b w:val="false"/>
          <w:i w:val="false"/>
          <w:caps w:val="false"/>
          <w:smallCaps w:val="false"/>
          <w:sz w:val="20"/>
          <w:u w:val="single"/>
        </w:rPr>
        <w:t>No Employment or Other Service Rights</w:t>
      </w:r>
      <w:r>
        <w:rPr>
          <w:rFonts w:ascii="Times New Roman PS Std;serif" w:hAnsi="Times New Roman PS Std;serif"/>
          <w:b w:val="false"/>
          <w:i w:val="false"/>
          <w:caps w:val="false"/>
          <w:smallCaps w:val="false"/>
          <w:sz w:val="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13.4       </w:t>
      </w:r>
      <w:r>
        <w:rPr>
          <w:rFonts w:ascii="Times New Roman PS Std;serif" w:hAnsi="Times New Roman PS Std;serif"/>
          <w:b w:val="false"/>
          <w:i w:val="false"/>
          <w:caps w:val="false"/>
          <w:smallCaps w:val="false"/>
          <w:sz w:val="20"/>
          <w:u w:val="single"/>
        </w:rPr>
        <w:t>Transfer; Approved Leave of Absence</w:t>
      </w:r>
      <w:r>
        <w:rPr>
          <w:rFonts w:ascii="Times New Roman PS Std;serif" w:hAnsi="Times New Roman PS Std;serif"/>
          <w:b w:val="false"/>
          <w:i w:val="false"/>
          <w:caps w:val="false"/>
          <w:smallCaps w:val="false"/>
          <w:sz w:val="20"/>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13.5       </w:t>
      </w:r>
      <w:r>
        <w:rPr>
          <w:rFonts w:ascii="Times New Roman PS Std;serif" w:hAnsi="Times New Roman PS Std;serif"/>
          <w:b w:val="false"/>
          <w:i w:val="false"/>
          <w:caps w:val="false"/>
          <w:smallCaps w:val="false"/>
          <w:sz w:val="20"/>
          <w:u w:val="single"/>
        </w:rPr>
        <w:t>Withholding Obligations</w:t>
      </w:r>
      <w:r>
        <w:rPr>
          <w:rFonts w:ascii="Times New Roman PS Std;serif" w:hAnsi="Times New Roman PS Std;serif"/>
          <w:b w:val="false"/>
          <w:i w:val="false"/>
          <w:caps w:val="false"/>
          <w:smallCaps w:val="false"/>
          <w:sz w:val="20"/>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pPr>
      <w:r>
        <w:rPr>
          <w:rFonts w:ascii="Times New Roman PS Std;serif" w:hAnsi="Times New Roman PS Std;serif"/>
          <w:b w:val="false"/>
          <w:i w:val="false"/>
          <w:caps w:val="false"/>
          <w:smallCaps w:val="false"/>
          <w:sz w:val="20"/>
        </w:rPr>
        <w:t>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 shares of Common Stock are withheld with a value exceeding the maximum amount of tax required to be withheld by law; or (c) delivering to the Company previously owned and unencumbered shares of Common Stock of the Company.</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13.6       </w:t>
      </w:r>
      <w:r>
        <w:rPr>
          <w:rFonts w:ascii="Times New Roman PS Std;serif" w:hAnsi="Times New Roman PS Std;serif"/>
          <w:b w:val="false"/>
          <w:i w:val="false"/>
          <w:caps w:val="false"/>
          <w:smallCaps w:val="false"/>
          <w:sz w:val="20"/>
          <w:u w:val="single"/>
        </w:rPr>
        <w:t>Minimum Vesting</w:t>
      </w:r>
      <w:r>
        <w:rPr>
          <w:rFonts w:ascii="Times New Roman PS Std;serif" w:hAnsi="Times New Roman PS Std;serif"/>
          <w:b w:val="false"/>
          <w:i w:val="false"/>
          <w:caps w:val="false"/>
          <w:smallCaps w:val="false"/>
          <w:sz w:val="20"/>
        </w:rPr>
        <w:t>.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 (C) Awards to Directors, and (D) the Committee’s discretion to provide for accelerated exercisability or vesting of any Award, including in cases of retirement, death, disability or a Change in Control, in the terms of the Award or otherwise.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14.         </w:t>
      </w:r>
      <w:r>
        <w:rPr>
          <w:rFonts w:ascii="Times New Roman PS Std;serif" w:hAnsi="Times New Roman PS Std;serif"/>
          <w:b w:val="false"/>
          <w:i w:val="false"/>
          <w:caps w:val="false"/>
          <w:smallCaps w:val="false"/>
          <w:sz w:val="20"/>
          <w:u w:val="single"/>
        </w:rPr>
        <w:t>Adjustments Upon Changes in Stock</w:t>
      </w:r>
      <w:r>
        <w:rPr>
          <w:rFonts w:ascii="Times New Roman PS Std;serif" w:hAnsi="Times New Roman PS Std;serif"/>
          <w:b w:val="false"/>
          <w:i w:val="false"/>
          <w:caps w:val="false"/>
          <w:smallCaps w:val="false"/>
          <w:sz w:val="20"/>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 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15.         </w:t>
      </w:r>
      <w:r>
        <w:rPr>
          <w:rFonts w:ascii="Times New Roman PS Std;serif" w:hAnsi="Times New Roman PS Std;serif"/>
          <w:b w:val="false"/>
          <w:i w:val="false"/>
          <w:caps w:val="false"/>
          <w:smallCaps w:val="false"/>
          <w:sz w:val="20"/>
          <w:u w:val="single"/>
        </w:rPr>
        <w:t>Effect of Change in Control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of Common Stock subject to any Award shall be rounded to the nearest whole number.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16.         </w:t>
      </w:r>
      <w:r>
        <w:rPr>
          <w:rFonts w:ascii="Times New Roman PS Std;serif" w:hAnsi="Times New Roman PS Std;serif"/>
          <w:b w:val="false"/>
          <w:i w:val="false"/>
          <w:caps w:val="false"/>
          <w:smallCaps w:val="false"/>
          <w:sz w:val="20"/>
          <w:u w:val="single"/>
        </w:rPr>
        <w:t>Amendment of the Plan and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16.1       </w:t>
      </w:r>
      <w:r>
        <w:rPr>
          <w:rFonts w:ascii="Times New Roman PS Std;serif" w:hAnsi="Times New Roman PS Std;serif"/>
          <w:b w:val="false"/>
          <w:i w:val="false"/>
          <w:caps w:val="false"/>
          <w:smallCaps w:val="false"/>
          <w:sz w:val="20"/>
          <w:u w:val="single"/>
        </w:rPr>
        <w:t>Amendment of Plan</w:t>
      </w:r>
      <w:r>
        <w:rPr>
          <w:rFonts w:ascii="Times New Roman PS Std;serif" w:hAnsi="Times New Roman PS Std;serif"/>
          <w:b w:val="false"/>
          <w:i w:val="false"/>
          <w:caps w:val="false"/>
          <w:smallCaps w:val="false"/>
          <w:sz w:val="20"/>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16.2       </w:t>
      </w:r>
      <w:r>
        <w:rPr>
          <w:rFonts w:ascii="Times New Roman PS Std;serif" w:hAnsi="Times New Roman PS Std;serif"/>
          <w:b w:val="false"/>
          <w:i w:val="false"/>
          <w:caps w:val="false"/>
          <w:smallCaps w:val="false"/>
          <w:sz w:val="20"/>
          <w:u w:val="single"/>
        </w:rPr>
        <w:t>Shareholder Approval</w:t>
      </w:r>
      <w:r>
        <w:rPr>
          <w:rFonts w:ascii="Times New Roman PS Std;serif" w:hAnsi="Times New Roman PS Std;serif"/>
          <w:b w:val="false"/>
          <w:i w:val="false"/>
          <w:caps w:val="false"/>
          <w:smallCaps w:val="false"/>
          <w:sz w:val="20"/>
        </w:rPr>
        <w:t>. The Board may, in its sole discretion, submit any other amendment to the Plan for shareholder approval.</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16.3       </w:t>
      </w:r>
      <w:r>
        <w:rPr>
          <w:rFonts w:ascii="Times New Roman PS Std;serif" w:hAnsi="Times New Roman PS Std;serif"/>
          <w:b w:val="false"/>
          <w:i w:val="false"/>
          <w:caps w:val="false"/>
          <w:smallCaps w:val="false"/>
          <w:sz w:val="20"/>
          <w:u w:val="single"/>
        </w:rPr>
        <w:t>Contemplated Amendments</w:t>
      </w:r>
      <w:r>
        <w:rPr>
          <w:rFonts w:ascii="Times New Roman PS Std;serif" w:hAnsi="Times New Roman PS Std;serif"/>
          <w:b w:val="false"/>
          <w:i w:val="false"/>
          <w:caps w:val="false"/>
          <w:smallCaps w:val="false"/>
          <w:sz w:val="20"/>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16.4       </w:t>
      </w:r>
      <w:r>
        <w:rPr>
          <w:rFonts w:ascii="Times New Roman PS Std;serif" w:hAnsi="Times New Roman PS Std;serif"/>
          <w:b w:val="false"/>
          <w:i w:val="false"/>
          <w:caps w:val="false"/>
          <w:smallCaps w:val="false"/>
          <w:sz w:val="20"/>
          <w:u w:val="single"/>
        </w:rPr>
        <w:t>No Impairment of Rights</w:t>
      </w:r>
      <w:r>
        <w:rPr>
          <w:rFonts w:ascii="Times New Roman PS Std;serif" w:hAnsi="Times New Roman PS Std;serif"/>
          <w:b w:val="false"/>
          <w:i w:val="false"/>
          <w:caps w:val="false"/>
          <w:smallCaps w:val="false"/>
          <w:sz w:val="20"/>
        </w:rPr>
        <w:t>. Rights under any Award granted before amendment of the Plan shall not be impaired by any amendment of the Plan unless (a) the Company requests the consent of the Participant and (b) the Participant consents in writing.</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16.5       </w:t>
      </w:r>
      <w:r>
        <w:rPr>
          <w:rFonts w:ascii="Times New Roman PS Std;serif" w:hAnsi="Times New Roman PS Std;serif"/>
          <w:b w:val="false"/>
          <w:i w:val="false"/>
          <w:caps w:val="false"/>
          <w:smallCaps w:val="false"/>
          <w:sz w:val="20"/>
          <w:u w:val="single"/>
        </w:rPr>
        <w:t>Amendment of Awards</w:t>
      </w:r>
      <w:r>
        <w:rPr>
          <w:rFonts w:ascii="Times New Roman PS Std;serif" w:hAnsi="Times New Roman PS Std;serif"/>
          <w:b w:val="false"/>
          <w:i w:val="false"/>
          <w:caps w:val="false"/>
          <w:smallCaps w:val="false"/>
          <w:sz w:val="20"/>
        </w:rPr>
        <w:t>. The Committee at any time, and from time to time, may amend the terms of any one or more Awards;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the Committee may not affect any amendment which would otherwise constitute an impairment of the rights under any Award unless (a) the Company requests the consent of the Participant and (b) the Participant consents in writing.</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17.         </w:t>
      </w:r>
      <w:r>
        <w:rPr>
          <w:rFonts w:ascii="Times New Roman PS Std;serif" w:hAnsi="Times New Roman PS Std;serif"/>
          <w:b w:val="false"/>
          <w:i w:val="false"/>
          <w:caps w:val="false"/>
          <w:smallCaps w:val="false"/>
          <w:sz w:val="20"/>
          <w:u w:val="single"/>
        </w:rPr>
        <w:t>General Provisions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17.1       </w:t>
      </w:r>
      <w:r>
        <w:rPr>
          <w:rFonts w:ascii="Times New Roman PS Std;serif" w:hAnsi="Times New Roman PS Std;serif"/>
          <w:b w:val="false"/>
          <w:i w:val="false"/>
          <w:caps w:val="false"/>
          <w:smallCaps w:val="false"/>
          <w:sz w:val="20"/>
          <w:u w:val="single"/>
        </w:rPr>
        <w:t>Forfeiture Events</w:t>
      </w:r>
      <w:r>
        <w:rPr>
          <w:rFonts w:ascii="Times New Roman PS Std;serif" w:hAnsi="Times New Roman PS Std;serif"/>
          <w:b w:val="false"/>
          <w:i w:val="false"/>
          <w:caps w:val="false"/>
          <w:smallCaps w:val="false"/>
          <w:sz w:val="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17.2       </w:t>
      </w:r>
      <w:r>
        <w:rPr>
          <w:rFonts w:ascii="Times New Roman PS Std;serif" w:hAnsi="Times New Roman PS Std;serif"/>
          <w:b w:val="false"/>
          <w:i w:val="false"/>
          <w:caps w:val="false"/>
          <w:smallCaps w:val="false"/>
          <w:sz w:val="20"/>
          <w:u w:val="single"/>
        </w:rPr>
        <w:t>Clawback</w:t>
      </w:r>
      <w:r>
        <w:rPr>
          <w:rFonts w:ascii="Times New Roman PS Std;serif" w:hAnsi="Times New Roman PS Std;serif"/>
          <w:b w:val="false"/>
          <w:i w:val="false"/>
          <w:caps w:val="false"/>
          <w:smallCaps w:val="false"/>
          <w:sz w:val="20"/>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17.3       </w:t>
      </w:r>
      <w:r>
        <w:rPr>
          <w:rFonts w:ascii="Times New Roman PS Std;serif" w:hAnsi="Times New Roman PS Std;serif"/>
          <w:b w:val="false"/>
          <w:i w:val="false"/>
          <w:caps w:val="false"/>
          <w:smallCaps w:val="false"/>
          <w:sz w:val="20"/>
          <w:u w:val="single"/>
        </w:rPr>
        <w:t>Other Compensation Arrangements</w:t>
      </w:r>
      <w:r>
        <w:rPr>
          <w:rFonts w:ascii="Times New Roman PS Std;serif" w:hAnsi="Times New Roman PS Std;serif"/>
          <w:b w:val="false"/>
          <w:i w:val="false"/>
          <w:caps w:val="false"/>
          <w:smallCaps w:val="false"/>
          <w:sz w:val="20"/>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17.4       </w:t>
      </w:r>
      <w:r>
        <w:rPr>
          <w:rFonts w:ascii="Times New Roman PS Std;serif" w:hAnsi="Times New Roman PS Std;serif"/>
          <w:b w:val="false"/>
          <w:i w:val="false"/>
          <w:caps w:val="false"/>
          <w:smallCaps w:val="false"/>
          <w:sz w:val="20"/>
          <w:u w:val="single"/>
        </w:rPr>
        <w:t>Sub-Plans</w:t>
      </w:r>
      <w:r>
        <w:rPr>
          <w:rFonts w:ascii="Times New Roman PS Std;serif" w:hAnsi="Times New Roman PS Std;serif"/>
          <w:b w:val="false"/>
          <w:i w:val="false"/>
          <w:caps w:val="false"/>
          <w:smallCaps w:val="false"/>
          <w:sz w:val="20"/>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17.5       </w:t>
      </w:r>
      <w:r>
        <w:rPr>
          <w:rFonts w:ascii="Times New Roman PS Std;serif" w:hAnsi="Times New Roman PS Std;serif"/>
          <w:b w:val="false"/>
          <w:i w:val="false"/>
          <w:caps w:val="false"/>
          <w:smallCaps w:val="false"/>
          <w:sz w:val="20"/>
          <w:u w:val="single"/>
        </w:rPr>
        <w:t>Deferral of Awards</w:t>
      </w:r>
      <w:r>
        <w:rPr>
          <w:rFonts w:ascii="Times New Roman PS Std;serif" w:hAnsi="Times New Roman PS Std;serif"/>
          <w:b w:val="false"/>
          <w:i w:val="false"/>
          <w:caps w:val="false"/>
          <w:smallCaps w:val="false"/>
          <w:sz w:val="20"/>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17.6       </w:t>
      </w:r>
      <w:r>
        <w:rPr>
          <w:rFonts w:ascii="Times New Roman PS Std;serif" w:hAnsi="Times New Roman PS Std;serif"/>
          <w:b w:val="false"/>
          <w:i w:val="false"/>
          <w:caps w:val="false"/>
          <w:smallCaps w:val="false"/>
          <w:sz w:val="20"/>
          <w:u w:val="single"/>
        </w:rPr>
        <w:t>Unfunded Plan</w:t>
      </w:r>
      <w:r>
        <w:rPr>
          <w:rFonts w:ascii="Times New Roman PS Std;serif" w:hAnsi="Times New Roman PS Std;serif"/>
          <w:b w:val="false"/>
          <w:i w:val="false"/>
          <w:caps w:val="false"/>
          <w:smallCaps w:val="false"/>
          <w:sz w:val="20"/>
        </w:rPr>
        <w:t>. The Plan shall be unfunded. Neither the Company, the Board nor the Committee shall be required to establish any special or separate fund or to segregate any assets to assure the performance of its obligations under the Plan.</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17.7       </w:t>
      </w:r>
      <w:r>
        <w:rPr>
          <w:rFonts w:ascii="Times New Roman PS Std;serif" w:hAnsi="Times New Roman PS Std;serif"/>
          <w:b w:val="false"/>
          <w:i w:val="false"/>
          <w:caps w:val="false"/>
          <w:smallCaps w:val="false"/>
          <w:sz w:val="20"/>
          <w:u w:val="single"/>
        </w:rPr>
        <w:t>Recapitalizations</w:t>
      </w:r>
      <w:r>
        <w:rPr>
          <w:rFonts w:ascii="Times New Roman PS Std;serif" w:hAnsi="Times New Roman PS Std;serif"/>
          <w:b w:val="false"/>
          <w:i w:val="false"/>
          <w:caps w:val="false"/>
          <w:smallCaps w:val="false"/>
          <w:sz w:val="20"/>
        </w:rPr>
        <w:t>. Each Award Agreement shall contain provisions required to reflect the provisions of Section 14.</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17.8       </w:t>
      </w:r>
      <w:r>
        <w:rPr>
          <w:rFonts w:ascii="Times New Roman PS Std;serif" w:hAnsi="Times New Roman PS Std;serif"/>
          <w:b w:val="false"/>
          <w:i w:val="false"/>
          <w:caps w:val="false"/>
          <w:smallCaps w:val="false"/>
          <w:sz w:val="20"/>
          <w:u w:val="single"/>
        </w:rPr>
        <w:t>Delivery</w:t>
      </w:r>
      <w:r>
        <w:rPr>
          <w:rFonts w:ascii="Times New Roman PS Std;serif" w:hAnsi="Times New Roman PS Std;serif"/>
          <w:b w:val="false"/>
          <w:i w:val="false"/>
          <w:caps w:val="false"/>
          <w:smallCaps w:val="false"/>
          <w:sz w:val="20"/>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17.9       </w:t>
      </w:r>
      <w:r>
        <w:rPr>
          <w:rFonts w:ascii="Times New Roman PS Std;serif" w:hAnsi="Times New Roman PS Std;serif"/>
          <w:b w:val="false"/>
          <w:i w:val="false"/>
          <w:caps w:val="false"/>
          <w:smallCaps w:val="false"/>
          <w:sz w:val="20"/>
          <w:u w:val="single"/>
        </w:rPr>
        <w:t>No Fractional Shares</w:t>
      </w:r>
      <w:r>
        <w:rPr>
          <w:rFonts w:ascii="Times New Roman PS Std;serif" w:hAnsi="Times New Roman PS Std;serif"/>
          <w:b w:val="false"/>
          <w:i w:val="false"/>
          <w:caps w:val="false"/>
          <w:smallCaps w:val="false"/>
          <w:sz w:val="20"/>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17.10     </w:t>
      </w:r>
      <w:r>
        <w:rPr>
          <w:rFonts w:ascii="Times New Roman PS Std;serif" w:hAnsi="Times New Roman PS Std;serif"/>
          <w:b w:val="false"/>
          <w:i w:val="false"/>
          <w:caps w:val="false"/>
          <w:smallCaps w:val="false"/>
          <w:sz w:val="20"/>
          <w:u w:val="single"/>
        </w:rPr>
        <w:t>Other Provisions</w:t>
      </w:r>
      <w:r>
        <w:rPr>
          <w:rFonts w:ascii="Times New Roman PS Std;serif" w:hAnsi="Times New Roman PS Std;serif"/>
          <w:b w:val="false"/>
          <w:i w:val="false"/>
          <w:caps w:val="false"/>
          <w:smallCaps w:val="false"/>
          <w:sz w:val="20"/>
        </w:rPr>
        <w:t>. The Award Agreements authorized under the Plan may contain such other provisions not inconsistent with this Plan, including, without limitation, restrictions upon the exercise of Awards, as the Committee may deem advisable.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17.11     </w:t>
      </w:r>
      <w:r>
        <w:rPr>
          <w:rFonts w:ascii="Times New Roman PS Std;serif" w:hAnsi="Times New Roman PS Std;serif"/>
          <w:b w:val="false"/>
          <w:i w:val="false"/>
          <w:caps w:val="false"/>
          <w:smallCaps w:val="false"/>
          <w:sz w:val="20"/>
          <w:u w:val="single"/>
        </w:rPr>
        <w:t>Section 409A</w:t>
      </w:r>
      <w:r>
        <w:rPr>
          <w:rFonts w:ascii="Times New Roman PS Std;serif" w:hAnsi="Times New Roman PS Std;serif"/>
          <w:b w:val="false"/>
          <w:i w:val="false"/>
          <w:caps w:val="false"/>
          <w:smallCaps w:val="false"/>
          <w:sz w:val="20"/>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17.12     </w:t>
      </w:r>
      <w:r>
        <w:rPr>
          <w:rFonts w:ascii="Times New Roman PS Std;serif" w:hAnsi="Times New Roman PS Std;serif"/>
          <w:b w:val="false"/>
          <w:i w:val="false"/>
          <w:caps w:val="false"/>
          <w:smallCaps w:val="false"/>
          <w:sz w:val="20"/>
          <w:u w:val="single"/>
        </w:rPr>
        <w:t>Disqualifying Dispositions</w:t>
      </w:r>
      <w:r>
        <w:rPr>
          <w:rFonts w:ascii="Times New Roman PS Std;serif" w:hAnsi="Times New Roman PS Std;serif"/>
          <w:b w:val="false"/>
          <w:i w:val="false"/>
          <w:caps w:val="false"/>
          <w:smallCaps w:val="false"/>
          <w:sz w:val="20"/>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(a “</w:t>
      </w:r>
      <w:r>
        <w:rPr>
          <w:rFonts w:ascii="Times New Roman PS Std;serif" w:hAnsi="Times New Roman PS Std;serif"/>
          <w:b/>
          <w:i w:val="false"/>
          <w:caps w:val="false"/>
          <w:smallCaps w:val="false"/>
          <w:sz w:val="20"/>
        </w:rPr>
        <w:t>Disqualifying Disposition</w:t>
      </w:r>
      <w:r>
        <w:rPr>
          <w:caps w:val="false"/>
          <w:smallCaps w:val="false"/>
        </w:rPr>
        <w:t>”</w:t>
      </w:r>
      <w:r>
        <w:rPr>
          <w:rFonts w:ascii="Times New Roman PS Std;serif" w:hAnsi="Times New Roman PS Std;serif"/>
          <w:b w:val="false"/>
          <w:i w:val="false"/>
          <w:caps w:val="false"/>
          <w:smallCaps w:val="false"/>
          <w:sz w:val="20"/>
        </w:rPr>
        <w:t>) shall be required to immediately advise the Company in writing as to the occurrence of the sale and the price realized upon the sale of such shares of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17.13     </w:t>
      </w:r>
      <w:r>
        <w:rPr>
          <w:rFonts w:ascii="Times New Roman PS Std;serif" w:hAnsi="Times New Roman PS Std;serif"/>
          <w:b w:val="false"/>
          <w:i w:val="false"/>
          <w:caps w:val="false"/>
          <w:smallCaps w:val="false"/>
          <w:sz w:val="20"/>
          <w:u w:val="single"/>
        </w:rPr>
        <w:t>Section 16</w:t>
      </w:r>
      <w:r>
        <w:rPr>
          <w:rFonts w:ascii="Times New Roman PS Std;serif" w:hAnsi="Times New Roman PS Std;serif"/>
          <w:b w:val="false"/>
          <w:i w:val="false"/>
          <w:caps w:val="false"/>
          <w:smallCaps w:val="false"/>
          <w:sz w:val="20"/>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17.14     </w:t>
      </w:r>
      <w:r>
        <w:rPr>
          <w:rFonts w:ascii="Times New Roman PS Std;serif" w:hAnsi="Times New Roman PS Std;serif"/>
          <w:b w:val="false"/>
          <w:i w:val="false"/>
          <w:caps w:val="false"/>
          <w:smallCaps w:val="false"/>
          <w:sz w:val="20"/>
          <w:u w:val="single"/>
        </w:rPr>
        <w:t>Beneficiary Designation</w:t>
      </w:r>
      <w:r>
        <w:rPr>
          <w:rFonts w:ascii="Times New Roman PS Std;serif" w:hAnsi="Times New Roman PS Std;serif"/>
          <w:b w:val="false"/>
          <w:i w:val="false"/>
          <w:caps w:val="false"/>
          <w:smallCaps w:val="false"/>
          <w:sz w:val="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17.15     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The costs of administering the Plan shall be paid by the Company.</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17.16     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17.17     </w:t>
      </w:r>
      <w:r>
        <w:rPr>
          <w:rFonts w:ascii="Times New Roman PS Std;serif" w:hAnsi="Times New Roman PS Std;serif"/>
          <w:b w:val="false"/>
          <w:i w:val="false"/>
          <w:caps w:val="false"/>
          <w:smallCaps w:val="false"/>
          <w:sz w:val="20"/>
          <w:u w:val="single"/>
        </w:rPr>
        <w:t>Plan Headings</w:t>
      </w:r>
      <w:r>
        <w:rPr>
          <w:rFonts w:ascii="Times New Roman PS Std;serif" w:hAnsi="Times New Roman PS Std;serif"/>
          <w:b w:val="false"/>
          <w:i w:val="false"/>
          <w:caps w:val="false"/>
          <w:smallCaps w:val="false"/>
          <w:sz w:val="20"/>
        </w:rPr>
        <w:t>. The headings in the Plan are for purposes of convenience only and are not intended to define or limit the construction of the provisions hereof.</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17.18     </w:t>
      </w:r>
      <w:r>
        <w:rPr>
          <w:rFonts w:ascii="Times New Roman PS Std;serif" w:hAnsi="Times New Roman PS Std;serif"/>
          <w:b w:val="false"/>
          <w:i w:val="false"/>
          <w:caps w:val="false"/>
          <w:smallCaps w:val="false"/>
          <w:sz w:val="20"/>
          <w:u w:val="single"/>
        </w:rPr>
        <w:t>Non-Uniform Treatment</w:t>
      </w:r>
      <w:r>
        <w:rPr>
          <w:rFonts w:ascii="Times New Roman PS Std;serif" w:hAnsi="Times New Roman PS Std;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18.         </w:t>
      </w:r>
      <w:r>
        <w:rPr>
          <w:rFonts w:ascii="Times New Roman PS Std;serif" w:hAnsi="Times New Roman PS Std;serif"/>
          <w:b w:val="false"/>
          <w:i w:val="false"/>
          <w:caps w:val="false"/>
          <w:smallCaps w:val="false"/>
          <w:sz w:val="20"/>
          <w:u w:val="single"/>
        </w:rPr>
        <w:t>Effective Date of Plan</w:t>
      </w:r>
      <w:r>
        <w:rPr>
          <w:rFonts w:ascii="Times New Roman PS Std;serif" w:hAnsi="Times New Roman PS Std;serif"/>
          <w:b w:val="false"/>
          <w:i w:val="false"/>
          <w:caps w:val="false"/>
          <w:smallCaps w:val="false"/>
          <w:sz w:val="20"/>
        </w:rPr>
        <w:t>. The Plan shall become effective as of the Effective Date.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19.         </w:t>
      </w:r>
      <w:r>
        <w:rPr>
          <w:rFonts w:ascii="Times New Roman PS Std;serif" w:hAnsi="Times New Roman PS Std;serif"/>
          <w:b w:val="false"/>
          <w:i w:val="false"/>
          <w:caps w:val="false"/>
          <w:smallCaps w:val="false"/>
          <w:sz w:val="20"/>
          <w:u w:val="single"/>
        </w:rPr>
        <w:t>Termination or Suspension of the Plan</w:t>
      </w:r>
      <w:r>
        <w:rPr>
          <w:rFonts w:ascii="Times New Roman PS Std;serif" w:hAnsi="Times New Roman PS Std;serif"/>
          <w:b w:val="false"/>
          <w:i w:val="false"/>
          <w:caps w:val="false"/>
          <w:smallCaps w:val="false"/>
          <w:sz w:val="20"/>
        </w:rPr>
        <w:t>. The Plan shall terminate automatically on June 8, 2032. No Award shall be granted pursuant to the Plan after such date, but Awards theretofore granted may extend beyond that date. The Board may suspend or terminate the Plan at any earlier date pursuant to Section 16.1 hereof. No Awards may be granted under the Plan while the Plan is suspended or after it is terminated.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20.         </w:t>
      </w:r>
      <w:r>
        <w:rPr>
          <w:rFonts w:ascii="Times New Roman PS Std;serif" w:hAnsi="Times New Roman PS Std;serif"/>
          <w:b w:val="false"/>
          <w:i w:val="false"/>
          <w:caps w:val="false"/>
          <w:smallCaps w:val="false"/>
          <w:sz w:val="20"/>
          <w:u w:val="single"/>
        </w:rPr>
        <w:t>Choice of Law</w:t>
      </w:r>
      <w:r>
        <w:rPr>
          <w:rFonts w:ascii="Times New Roman PS Std;serif" w:hAnsi="Times New Roman PS Std;serif"/>
          <w:b w:val="false"/>
          <w:i w:val="false"/>
          <w:caps w:val="false"/>
          <w:smallCaps w:val="false"/>
          <w:sz w:val="20"/>
        </w:rPr>
        <w:t>. The law of the State of Nevada shall govern all questions concerning the construction, validity and interpretation of this Plan, without regard to such state’s conflict of law rules.</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adopted by the Board of Directors of RYTHM, Inc. on April 19, 2022.</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approved by the shareholders of RYTHM, Inc. on June 8, 2022.</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amendment adopted by the Board of Directors of RYTHM, Inc. on November 28, 2023</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amendment approved by the shareholders of RYTHM, Inc. on January 8, 2024</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amendment adopted by the Board of Directors of RYTHM, Inc. on July 8, 2024</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amendment adopted by the shareholders of RYTHM, Inc. on August 12, 2024</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amendment adopted by the Board of Directors of RYTHM, Inc. on April 29, 2025</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color w:val="3953A4"/>
          <w:sz w:val="20"/>
          <w:u w:val="single"/>
        </w:rPr>
        <w:t>Third</w:t>
      </w:r>
      <w:r>
        <w:rPr>
          <w:caps w:val="false"/>
          <w:smallCaps w:val="false"/>
          <w:color w:val="3953A4"/>
        </w:rPr>
        <w:t xml:space="preserve"> </w:t>
      </w:r>
      <w:r>
        <w:rPr>
          <w:rFonts w:ascii="Times New Roman PS Std;serif" w:hAnsi="Times New Roman PS Std;serif"/>
          <w:b w:val="false"/>
          <w:i w:val="false"/>
          <w:caps w:val="false"/>
          <w:smallCaps w:val="false"/>
          <w:strike/>
          <w:color w:val="ED2024"/>
          <w:sz w:val="20"/>
        </w:rPr>
        <w:t xml:space="preserve">second </w:t>
      </w:r>
      <w:r>
        <w:rPr>
          <w:rFonts w:ascii="Times New Roman PS Std;serif" w:hAnsi="Times New Roman PS Std;serif"/>
          <w:b w:val="false"/>
          <w:i w:val="false"/>
          <w:caps w:val="false"/>
          <w:smallCaps w:val="false"/>
          <w:sz w:val="20"/>
        </w:rPr>
        <w:t xml:space="preserve">amendment adopted by the shareholders of RYTHM, Inc. on </w:t>
      </w:r>
      <w:r>
        <w:rPr>
          <w:rFonts w:ascii="Times New Roman PS Std;serif" w:hAnsi="Times New Roman PS Std;serif"/>
          <w:b w:val="false"/>
          <w:i w:val="false"/>
          <w:caps w:val="false"/>
          <w:smallCaps w:val="false"/>
          <w:color w:val="3953A4"/>
          <w:sz w:val="20"/>
        </w:rPr>
        <w:t>June 11</w:t>
      </w:r>
      <w:r>
        <w:rPr>
          <w:rFonts w:ascii="Times New Roman PS Std;serif" w:hAnsi="Times New Roman PS Std;serif"/>
          <w:b w:val="false"/>
          <w:i w:val="false"/>
          <w:caps w:val="false"/>
          <w:smallCaps w:val="false"/>
          <w:sz w:val="20"/>
        </w:rPr>
        <w:t>, 2025</w:t>
      </w:r>
    </w:p>
    <w:p>
      <w:pPr>
        <w:pStyle w:val="TextBody"/>
        <w:widowControl/>
        <w:pBdr/>
        <w:bidi w:val="0"/>
        <w:spacing w:before="160" w:after="283"/>
        <w:ind w:left="720" w:right="0" w:firstLine="720"/>
        <w:jc w:val="both"/>
        <w:rPr>
          <w:rFonts w:ascii="Times New Roman PS Std;serif" w:hAnsi="Times New Roman PS Std;serif"/>
          <w:b w:val="false"/>
          <w:i w:val="false"/>
          <w:caps w:val="false"/>
          <w:smallCaps w:val="false"/>
          <w:color w:val="3953A4"/>
          <w:sz w:val="20"/>
          <w:u w:val="single"/>
        </w:rPr>
      </w:pPr>
      <w:r>
        <w:rPr>
          <w:rFonts w:ascii="Times New Roman PS Std;serif" w:hAnsi="Times New Roman PS Std;serif"/>
          <w:b w:val="false"/>
          <w:i w:val="false"/>
          <w:caps w:val="false"/>
          <w:smallCaps w:val="false"/>
          <w:color w:val="3953A4"/>
          <w:sz w:val="20"/>
          <w:u w:val="single"/>
        </w:rPr>
        <w:t>Fourth amendment adopted by the Board of Directors of RYTHM, Inc. on April 23,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RYTHM, INC. C/O BROADRIDGE CORPORATE ISSUER SOLUTIONS P.O. BOX 1342 BRENTWOOD, NY 11717 SCAN TO VIEW MATERIALS &amp; VOTE VOTE BY INTERNET Before The Meeting - Go to www.proxyvote.com or scan the QR Barcode above Use the Internet to transmit your voting instructions and for electronic delivery of information up until 10:59 PM CT on June 15, 2026. Have your proxy card in hand when you access the web site and follow the instructions to obtain your records and to create an electronic voting instruction form. During The Meeting - Go to www.virtualshareholdermeeting.com/RYM2026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10:59 PM CT on June 15,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THIS PROXY CARD IS VALID ONLY WHEN SIGNED AND DATED. DETACH AND RETURN THIS PORTION ONLY V95115-P48867 RYTHM, INC. Nominees: 1. To elect seven directors, each for a one-year term; The Board of Directors recommends you vote FOR the following: 01) Benjamin Kovler 02) Max Holtzman 03) Timothy Mahoney 04) Peter Shapiro 05) Sanjay Tolia 06) Armon Vakili 07) Krishnan Varier For All Withhold All For All Except To withhold authority to vote for any individual nominee(s), mark “For All Except” and write the number(s) of the nominee(s) on the line below. 2. To ratify the appointment of GuzmanGray as the Company’s independent registered public accounting firm for the fiscal year ending December 31, 2026. 3. To approve an amendment to the RYTHM, Inc. 2022 Omnibus Equity Incentive Plan to increase the number of shares of Common Stock available for issuance thereunder by 115,000. NOTE: Such other business as may properly come before the meeting or any adjournment thereof. The Board of Directors recommends you vote FOR proposals 2 and 3.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8572500" cy="82842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Annual Meeting: The Notice and Proxy Statement and Annual Report are available at www.proxyvote.com. V95116-P48867 RYTHM, Inc. Virtual Annual Meeting of Stockholders June 16, 2026 3:00 PM CT This proxy is solicited by the Board of Directors The stockholder(s) hereby appoint(s) Benjamin Kovler and Brad Asher, or either of them, as proxies, each with the power to appoint his substitute, and hereby authorize(s) them to represent and to vote, as designated on the reverse side of this ballot, all of the shares of Common Stock of RYTHM, Inc. that the stockholder(s) is/are entitled to vote at the Annual Meeting of Stockholders to be held at 3:00 PM CT on June 16, 2026, at www.virtualshareholdermeeting.com/RYM2026,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37737</Words>
  <Characters>198975</Characters>
  <CharactersWithSpaces>237647</CharactersWithSpaces>
  <Paragraphs>1494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