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58"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jc w:val="center"/>
        <w:ind w:left="3500" w:right="940" w:hanging="2559"/>
        <w:spacing w:after="0" w:line="422" w:lineRule="auto"/>
        <w:tabs>
          <w:tab w:leader="none" w:pos="1139"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 to 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001-39946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114300</wp:posOffset>
            </wp:positionV>
            <wp:extent cx="1285875" cy="1131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11315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ind w:left="2540"/>
              <w:spacing w:after="0"/>
              <w:rPr>
                <w:sz w:val="20"/>
                <w:szCs w:val="20"/>
                <w:color w:val="auto"/>
              </w:rPr>
            </w:pPr>
            <w:r>
              <w:rPr>
                <w:rFonts w:ascii="Times New Roman" w:cs="Times New Roman" w:eastAsia="Times New Roman" w:hAnsi="Times New Roman"/>
                <w:sz w:val="18"/>
                <w:szCs w:val="18"/>
                <w:b w:val="1"/>
                <w:bCs w:val="1"/>
                <w:color w:val="auto"/>
              </w:rPr>
              <w:t>Nevada</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30-0943453</w:t>
            </w:r>
          </w:p>
        </w:tc>
      </w:tr>
      <w:tr>
        <w:trPr>
          <w:trHeight w:val="198"/>
        </w:trPr>
        <w:tc>
          <w:tcPr>
            <w:tcW w:w="5640" w:type="dxa"/>
            <w:vAlign w:val="bottom"/>
            <w:tcBorders>
              <w:top w:val="single" w:sz="8" w:color="auto"/>
            </w:tcBorders>
          </w:tcPr>
          <w:p>
            <w:pPr>
              <w:ind w:left="176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0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2220 Hicks Road Suite 210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Rolling Meadows, IL 60008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(855) 420-0020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71"/>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jc w:val="center"/>
              <w:ind w:right="610"/>
              <w:spacing w:after="0"/>
              <w:rPr>
                <w:sz w:val="20"/>
                <w:szCs w:val="20"/>
                <w:color w:val="auto"/>
              </w:rPr>
            </w:pPr>
            <w:r>
              <w:rPr>
                <w:rFonts w:ascii="Times New Roman" w:cs="Times New Roman" w:eastAsia="Times New Roman" w:hAnsi="Times New Roman"/>
                <w:sz w:val="18"/>
                <w:szCs w:val="18"/>
                <w:color w:val="auto"/>
                <w:w w:val="97"/>
              </w:rPr>
              <w:t>RYM</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3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right="196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November 4, 2026, the registrant had 2,180,128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720" w:type="dxa"/>
            <w:vAlign w:val="bottom"/>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39"/>
        </w:trPr>
        <w:tc>
          <w:tcPr>
            <w:tcW w:w="1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7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02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33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FINANCIAL STATEMENTS (UNAUDITED)</w:t>
            </w:r>
          </w:p>
        </w:tc>
        <w:tc>
          <w:tcPr>
            <w:tcW w:w="5720" w:type="dxa"/>
            <w:vAlign w:val="bottom"/>
            <w:tcBorders>
              <w:bottom w:val="single" w:sz="8" w:color="CCEEFF"/>
            </w:tcBorders>
            <w:gridSpan w:val="8"/>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1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66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w:t>
            </w:r>
          </w:p>
        </w:tc>
        <w:tc>
          <w:tcPr>
            <w:tcW w:w="5440" w:type="dxa"/>
            <w:vAlign w:val="bottom"/>
            <w:tcBorders>
              <w:bottom w:val="single" w:sz="8" w:color="CCEEFF"/>
            </w:tcBorders>
            <w:gridSpan w:val="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75"/>
        </w:trPr>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1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7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w:t>
            </w:r>
          </w:p>
        </w:tc>
        <w:tc>
          <w:tcPr>
            <w:tcW w:w="5380" w:type="dxa"/>
            <w:vAlign w:val="bottom"/>
            <w:tcBorders>
              <w:bottom w:val="single" w:sz="8" w:color="CCEEFF"/>
            </w:tcBorders>
            <w:gridSpan w:val="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6"/>
        </w:trPr>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1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1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1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5"/>
        </w:trPr>
        <w:tc>
          <w:tcPr>
            <w:tcW w:w="102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
        </w:trPr>
        <w:tc>
          <w:tcPr>
            <w:tcW w:w="1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1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1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1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1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1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1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9"/>
              </w:rPr>
              <w:t>SIGNATURES</w:t>
            </w: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1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rPr>
              <w:t>RYTHM,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48,244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32,218</w:t>
            </w:r>
          </w:p>
        </w:tc>
      </w:tr>
      <w:tr>
        <w:trPr>
          <w:trHeight w:val="256"/>
        </w:trPr>
        <w:tc>
          <w:tcPr>
            <w:tcW w:w="86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Accounts receivable, net</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7,771</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9,317</w:t>
            </w:r>
          </w:p>
        </w:tc>
      </w:tr>
      <w:tr>
        <w:trPr>
          <w:trHeight w:val="257"/>
        </w:trPr>
        <w:tc>
          <w:tcPr>
            <w:tcW w:w="8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Inventory, net</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1,383</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4,045</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1,970</w:t>
            </w: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9,713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prepaid license rights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49,400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26,798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 associated with discontinued operations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9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134,656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106,677</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Accounts payable</w:t>
            </w:r>
            <w:r>
              <w:rPr>
                <w:rFonts w:ascii="Times New Roman" w:cs="Times New Roman" w:eastAsia="Times New Roman" w:hAnsi="Times New Roman"/>
                <w:sz w:val="29"/>
                <w:szCs w:val="29"/>
                <w:color w:val="auto"/>
                <w:vertAlign w:val="superscript"/>
              </w:rPr>
              <w:t>(3)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2,340</w:t>
            </w:r>
          </w:p>
        </w:tc>
      </w:tr>
      <w:tr>
        <w:trPr>
          <w:trHeight w:val="257"/>
        </w:trPr>
        <w:tc>
          <w:tcPr>
            <w:tcW w:w="86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Accrued expenses and other current liabilities</w:t>
            </w:r>
            <w:r>
              <w:rPr>
                <w:rFonts w:ascii="Times New Roman" w:cs="Times New Roman" w:eastAsia="Times New Roman" w:hAnsi="Times New Roman"/>
                <w:sz w:val="29"/>
                <w:szCs w:val="29"/>
                <w:color w:val="auto"/>
                <w:vertAlign w:val="superscript"/>
              </w:rPr>
              <w:t>(4)</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6,625</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debt, current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27,000</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 associated with discontinued operations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2,082</w:t>
            </w: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91,910</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42,960</w:t>
            </w:r>
          </w:p>
        </w:tc>
        <w:tc>
          <w:tcPr>
            <w:tcW w:w="100" w:type="dxa"/>
            <w:vAlign w:val="bottom"/>
            <w:tcBorders>
              <w:top w:val="single" w:sz="8" w:color="CCEEFF"/>
            </w:tcBorders>
          </w:tcPr>
          <w:p>
            <w:pPr>
              <w:spacing w:after="0"/>
              <w:rPr>
                <w:sz w:val="17"/>
                <w:szCs w:val="17"/>
                <w:color w:val="auto"/>
              </w:rPr>
            </w:pPr>
          </w:p>
        </w:tc>
      </w:tr>
      <w:tr>
        <w:trPr>
          <w:trHeight w:val="256"/>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Warrant liabilities</w:t>
            </w:r>
            <w:r>
              <w:rPr>
                <w:rFonts w:ascii="Times New Roman" w:cs="Times New Roman" w:eastAsia="Times New Roman" w:hAnsi="Times New Roman"/>
                <w:sz w:val="29"/>
                <w:szCs w:val="29"/>
                <w:color w:val="auto"/>
                <w:vertAlign w:val="superscript"/>
              </w:rPr>
              <w:t>(5)</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675</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debt, net of current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92,585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93,657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35,000,000 shares authorized; 2,180,128 and 2,149,128 shares issued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outstanding at September 30, 2026 and December 31, 2025,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per share, 2,895,000 shares authorized, no shares issued or outstanding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A Stock, $0.001 par value per share, 105,000 shares authorized, no shares issued or outstanding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362,296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353,818</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(320,227)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(340,800)</w:t>
            </w: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42,071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13,020</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134,656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106,677</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$6.0 million and $7.0 million from related parties as of September 30, 2026 and December 31, 2025, respectively.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$120 thousand and $392 thousand from a related party as of September 30, 2026 and December 31, 2025, respectively.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$90 thousand and $152 thousand due to related parties as of September 30, 2026 and December 31, 2025, respectively.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$4.6 million and $4.7 million due to related parties as of September 30, 2026 and December 31, 2025, respectively.</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2026 and December 31, 2025, the number of outstanding warrants subject to liability classification was 40,017, of which 15,394 were held by RSLGH, LLC (“RSLGH”) a related party.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Revenue</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23,857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4,043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60,163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6,623</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5,506</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2,668</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12,880</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4,476</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59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17,370</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10,263</w:t>
            </w:r>
          </w:p>
        </w:tc>
        <w:tc>
          <w:tcPr>
            <w:tcW w:w="2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48,400</w:t>
            </w: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21,534</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17,370</w:t>
            </w: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10,263</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48,400</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21,534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(loss) from continuing operations</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981</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(8,888)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(19,387)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9"/>
                <w:szCs w:val="29"/>
                <w:color w:val="auto"/>
                <w:vertAlign w:val="superscript"/>
              </w:rPr>
              <w:t>(3)</w:t>
            </w:r>
          </w:p>
        </w:tc>
        <w:tc>
          <w:tcPr>
            <w:tcW w:w="240" w:type="dxa"/>
            <w:vAlign w:val="bottom"/>
          </w:tcPr>
          <w:p>
            <w:pPr>
              <w:spacing w:after="0"/>
              <w:rPr>
                <w:sz w:val="22"/>
                <w:szCs w:val="22"/>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(1,663)</w:t>
            </w:r>
          </w:p>
        </w:tc>
        <w:tc>
          <w:tcPr>
            <w:tcW w:w="24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(1,134)</w:t>
            </w:r>
          </w:p>
        </w:tc>
        <w:tc>
          <w:tcPr>
            <w:tcW w:w="24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(5,132)</w:t>
            </w:r>
          </w:p>
        </w:tc>
        <w:tc>
          <w:tcPr>
            <w:tcW w:w="24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in fair value of warrant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expenses, net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(10,633)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(21,112)</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26,798</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continuing operations, net of income taxes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Extraction business</w:t>
            </w: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3,534</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discontinued operations, net of income taxes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(10,665)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per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30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tcPr>
          <w:p>
            <w:pPr>
              <w:spacing w:after="0"/>
              <w:rPr>
                <w:sz w:val="24"/>
                <w:szCs w:val="24"/>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Net (loss) income per share attributable to Common Stockholders – basic</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63"/>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 income per share attributable to Common Stockholders – 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2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40" w:type="dxa"/>
            <w:vAlign w:val="bottom"/>
          </w:tcPr>
          <w:p>
            <w:pPr>
              <w:spacing w:after="0"/>
              <w:rPr>
                <w:sz w:val="24"/>
                <w:szCs w:val="24"/>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7,722,524</w:t>
            </w:r>
          </w:p>
        </w:tc>
        <w:tc>
          <w:tcPr>
            <w:tcW w:w="240" w:type="dxa"/>
            <w:vAlign w:val="bottom"/>
          </w:tcPr>
          <w:p>
            <w:pPr>
              <w:spacing w:after="0"/>
              <w:rPr>
                <w:sz w:val="24"/>
                <w:szCs w:val="24"/>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2,002,568</w:t>
            </w:r>
          </w:p>
        </w:tc>
        <w:tc>
          <w:tcPr>
            <w:tcW w:w="2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4,029,540</w:t>
            </w:r>
          </w:p>
        </w:tc>
        <w:tc>
          <w:tcPr>
            <w:tcW w:w="240" w:type="dxa"/>
            <w:vAlign w:val="bottom"/>
          </w:tcPr>
          <w:p>
            <w:pPr>
              <w:spacing w:after="0"/>
              <w:rPr>
                <w:sz w:val="24"/>
                <w:szCs w:val="24"/>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1,973,553</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7,722,524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2,002,568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7,008,789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1,973,553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$17.8 million and $45.5 million for the three and nine months ended September 30, 2026, and $696 thousand and $961 thousand for the three and nine months ended September 30, 2025, in each case from related parties.</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$5.1 million and $15.4 million for the three and nine months ended September 30, 2026, and $3.1 million and $7.3 million for the three and nine months ended September 30, 2025, in each case from related parties.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 million and $5.4 million of interest expense for the three and nine months ended September 30, 2026, and $1.4 million and $2.2 million for the three and nine months ended September 30, 2025, in each case from a related party.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20" w:type="dxa"/>
            <w:vAlign w:val="bottom"/>
          </w:tcPr>
          <w:p>
            <w:pPr>
              <w:spacing w:after="0"/>
              <w:rPr>
                <w:sz w:val="19"/>
                <w:szCs w:val="19"/>
                <w:color w:val="auto"/>
              </w:rPr>
            </w:pPr>
          </w:p>
        </w:tc>
        <w:tc>
          <w:tcPr>
            <w:tcW w:w="2120" w:type="dxa"/>
            <w:vAlign w:val="bottom"/>
            <w:gridSpan w:val="6"/>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9"/>
                <w:szCs w:val="19"/>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2"/>
        </w:trPr>
        <w:tc>
          <w:tcPr>
            <w:tcW w:w="5520" w:type="dxa"/>
            <w:vAlign w:val="bottom"/>
          </w:tcPr>
          <w:p>
            <w:pPr>
              <w:spacing w:after="0"/>
              <w:rPr>
                <w:sz w:val="20"/>
                <w:szCs w:val="20"/>
                <w:color w:val="auto"/>
              </w:rPr>
            </w:pPr>
          </w:p>
        </w:tc>
        <w:tc>
          <w:tcPr>
            <w:tcW w:w="2120" w:type="dxa"/>
            <w:vAlign w:val="bottom"/>
            <w:gridSpan w:val="6"/>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40" w:type="dxa"/>
            <w:vAlign w:val="bottom"/>
            <w:gridSpan w:val="4"/>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10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1,952,032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(307,313)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28,089</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Cancellation of common shares</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non-controlling interests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(1,626)</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520" w:type="dxa"/>
            <w:vAlign w:val="bottom"/>
            <w:vMerge w:val="continue"/>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1,952,014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335,989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(309,169</w:t>
            </w:r>
          </w:p>
        </w:tc>
        <w:tc>
          <w:tcPr>
            <w:tcW w:w="220" w:type="dxa"/>
            <w:vAlign w:val="bottom"/>
            <w:vMerge w:val="continue"/>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vested RSUs, net of shares held back to offset tax</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50,554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5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and accrual of pre-funded warrants in lieu of cash interest</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on related party debt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5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and accrual of pre-funded warrants in lieu of cash interest</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(7,360)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(7,360)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520" w:type="dxa"/>
            <w:vAlign w:val="bottom"/>
            <w:vMerge w:val="continue"/>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2,002,568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337,490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(316,529</w:t>
            </w:r>
          </w:p>
        </w:tc>
        <w:tc>
          <w:tcPr>
            <w:tcW w:w="220" w:type="dxa"/>
            <w:vAlign w:val="bottom"/>
            <w:vMerge w:val="continue"/>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or accrual of pre-funded warrants in lieu of cash interest</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on related party debt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5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or accrual of pre-funded warrants in lieu of cash interest</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(10,665)</w:t>
            </w: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(10,665)</w:t>
            </w:r>
          </w:p>
        </w:tc>
        <w:tc>
          <w:tcPr>
            <w:tcW w:w="0" w:type="dxa"/>
            <w:vAlign w:val="bottom"/>
          </w:tcPr>
          <w:p>
            <w:pPr>
              <w:spacing w:after="0"/>
              <w:rPr>
                <w:sz w:val="1"/>
                <w:szCs w:val="1"/>
                <w:color w:val="auto"/>
              </w:rPr>
            </w:pPr>
          </w:p>
        </w:tc>
      </w:tr>
      <w:tr>
        <w:trPr>
          <w:trHeight w:val="27"/>
        </w:trPr>
        <w:tc>
          <w:tcPr>
            <w:tcW w:w="5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vMerge w:val="continue"/>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2,002,568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338,914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(327,194</w:t>
            </w:r>
          </w:p>
        </w:tc>
        <w:tc>
          <w:tcPr>
            <w:tcW w:w="2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11,722</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3"/>
        </w:trPr>
        <w:tc>
          <w:tcPr>
            <w:tcW w:w="5520" w:type="dxa"/>
            <w:vAlign w:val="bottom"/>
          </w:tcPr>
          <w:p>
            <w:pPr>
              <w:spacing w:after="0"/>
              <w:rPr>
                <w:sz w:val="24"/>
                <w:szCs w:val="24"/>
                <w:color w:val="auto"/>
              </w:rPr>
            </w:pPr>
          </w:p>
        </w:tc>
        <w:tc>
          <w:tcPr>
            <w:tcW w:w="2120" w:type="dxa"/>
            <w:vAlign w:val="bottom"/>
            <w:gridSpan w:val="6"/>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4"/>
                <w:szCs w:val="24"/>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2"/>
        </w:trPr>
        <w:tc>
          <w:tcPr>
            <w:tcW w:w="5520" w:type="dxa"/>
            <w:vAlign w:val="bottom"/>
          </w:tcPr>
          <w:p>
            <w:pPr>
              <w:spacing w:after="0"/>
              <w:rPr>
                <w:sz w:val="20"/>
                <w:szCs w:val="20"/>
                <w:color w:val="auto"/>
              </w:rPr>
            </w:pPr>
          </w:p>
        </w:tc>
        <w:tc>
          <w:tcPr>
            <w:tcW w:w="2120" w:type="dxa"/>
            <w:vAlign w:val="bottom"/>
            <w:gridSpan w:val="6"/>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40" w:type="dxa"/>
            <w:vAlign w:val="bottom"/>
            <w:gridSpan w:val="4"/>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10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2026</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2,149,128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353,818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(340,800)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and accrual of pre-funded warrants in lieu of cash interest</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on related party debt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5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and accrual of pre-funded warrants in lieu of cash interest</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19,922</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19,922</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520" w:type="dxa"/>
            <w:vAlign w:val="bottom"/>
            <w:vMerge w:val="continue"/>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2,149,128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357,451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(320,878</w:t>
            </w:r>
          </w:p>
        </w:tc>
        <w:tc>
          <w:tcPr>
            <w:tcW w:w="220" w:type="dxa"/>
            <w:vAlign w:val="bottom"/>
            <w:vMerge w:val="continue"/>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vested RSUs, net of shares held back to offset tax</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5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and accrual of pre-funded warrants in lieu of cash interest</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on related party debt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5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and accrual of pre-funded warrants in lieu of cash interest</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1,184</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2026</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520" w:type="dxa"/>
            <w:vAlign w:val="bottom"/>
            <w:vMerge w:val="continue"/>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2,179,128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358,779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(319,694</w:t>
            </w:r>
          </w:p>
        </w:tc>
        <w:tc>
          <w:tcPr>
            <w:tcW w:w="220" w:type="dxa"/>
            <w:vAlign w:val="bottom"/>
            <w:vMerge w:val="continue"/>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39,087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vested RSUs, net of shares held back to offset tax</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5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and accrual of pre-funded warrants in lieu of cash interest</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on related party debt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5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and accrual of pre-funded warrants in lieu of cash interest</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(533)</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20" w:type="dxa"/>
            <w:vAlign w:val="bottom"/>
            <w:vMerge w:val="continue"/>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2,180,128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362,296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(320,227</w:t>
            </w:r>
          </w:p>
        </w:tc>
        <w:tc>
          <w:tcPr>
            <w:tcW w:w="2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42,071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20,573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2,530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1,904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tax benefit from release of valuation allowance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expense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right-of-use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1,612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net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inventory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disposal of Extraction business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 related party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 - related party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4,348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and cash equivalents provided by (used in) operating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acquisition of MC Brands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acquisition of VCP</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Net cash and cash equivalents used in investing activities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(55,075)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related party notes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notes payable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Net cash and cash equivalents provided by financing activities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79,997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16,026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4,403</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32,218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31,170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period</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48,244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35,573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pre-funded warrants in lieu of cash interest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6,813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1,794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pre-funded warrants in lieu of cash interest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of accounts payable to notes payable</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Overview, Basis of Presentation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RYTHM, Inc. (formerly Agrify Corporation) (together with its subsidiaries, the “Company” or “RYTHM”) delivers well-being to consumers through its portfolio of hemp-derived tetrahydrocannabinol (“THC”) products and iconic licensed brands. The Company’s portfolio of consumer-packaged goods brands includes RYTHM, incredibles, Dogwalkers, Beboe, &amp;Shine, Doctor Solomon’s, Good Green and Señorita. The Señorita brand offers consumers hemp-derived tetrahydrocannabinol (“THC”) beverages that mirror well-known cocktails like a margarita – in four flavors – classic Lime Jalapeño Margarita, Mango Margarita, Paloma and Ranch Water as well as 1777, a hemp-derived THC spirit. Known for its clean, fresh taste and commitment to high-quality, natural ingredients, Señorita offers a low-sugar, low-calorie alternative to alcoholic beverages and is available in eighteen U.S. states and Canada including at top retailers such as Total Wine, ABC Fine Wine &amp; Spirits, and Binny’s. The RYTHM branded beverage comes in three fruit-driven flavors with effect-based ingredients. Both Señorita and RYTHM hemp-derived beverages are available at Chicago’s iconic United Center, based on a partnership announced in January 2026, establishing the Company as the venue’s official THC sponsor. Other hemp-derived products including incredibles and Beboe edible products are primarily sold online and through direct-to-retail partnerships. In addition to the sale of hemp-derived products (“Non-licensing Revenue”), the Company licenses its brands to be manufactured and distributed in exchange for a licensing fee (“Licensing Revenue”). Throughout these unaudited condensed consolidated financial statements, the terms “intellectual property”, “intellectual property rights”, “brands”, “trademarks”, “tradenames”, “brand rights” and “Prepaid License Rights” are used interchangeably.</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was historically a leading provider of innovative cultivation and extraction solutions for the cannabis industry. Prior to the exit of the extraction business on March 30, 2025, the Company’s comprehensive extraction product line (“the Extraction Business”), which included hydrocarbon, alcohol, solventless, post-processing, and lab equipment, empowered cannabis producers to maximize the quantity and quality of extract required for premium concentrates. Additionally, prior to its sale on December 31, 2024, the Company’s proprietary micro-environment-controlled Agrify Vertical Farming Units (“VFUs”) enabled cultivators to produce high quality products.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was formed in the State of Nevada on June 6, 2016 as Agrinamics, Inc., and subsequently changed its name to Agrify Corporation. On August 27, 2025, the Company filed a Certificate of Amendment to the Articles of Incorporation of the Company with the Secretary of State of Nevada, to effect a change in the Company’s name from Agrify Corporation to RYTHM, Inc., effective as of September 2, 2025. In connection with the name change, the Company’s trading symbol on the Nasdaq Capital Market changed from “AGFY” to “RYM” effective as of the open of trading on September 2, 2025. The Company is sometimes referred to herein by the words “we,” “us,” “our,” and similar terminology.</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thirteen wholly-owned consolidated subsidiaries, which are collectively referred to as the “Subsidiaries,” seven of which are included in discontinued operations.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12, 2024, the Company acquired certain assets from Double or Nothing, LLC (“Double or Nothing”), the owner and creator of the Señorita brand of hemp-derived drinks as part of the Company’s strategic plan to reposition itself as a distributor of hemp-derived THC beverages and similar products.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31, 2024, the Company entered into an Asset Purchase Agreement (the “Purchase Agreement”) with CP Acquisitions, LLC (“CP”), an entity affiliated with Raymond Chang, the Company’s former Chairman and Chief Executive Officer. Under the Purchase Agreement, CP acquired assets</w:t>
      </w:r>
    </w:p>
    <w:p>
      <w:pPr>
        <w:jc w:val="both"/>
        <w:spacing w:after="0" w:line="234" w:lineRule="auto"/>
        <w:rPr>
          <w:sz w:val="20"/>
          <w:szCs w:val="20"/>
          <w:color w:val="auto"/>
        </w:rPr>
      </w:pPr>
      <w:r>
        <w:rPr>
          <w:rFonts w:ascii="Times New Roman" w:cs="Times New Roman" w:eastAsia="Times New Roman" w:hAnsi="Times New Roman"/>
          <w:sz w:val="18"/>
          <w:szCs w:val="18"/>
          <w:color w:val="auto"/>
        </w:rPr>
        <w:t>from the Company relating to the Company’s VFUs, including the related Agrify total-turnkey (“TTK”) solution assets and Agrify Insights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software solutions (collectively the “Cultivation Business”). The sale of the Cultivation Business occurred following signing on December 31, 2024. The results of the Cultivation Business are presented as discontinued operations in the Condensed Consolidated Statements of Operations and, as such, have been excluded from continuing operations. Further, the Company reclassified the assets and liabilities of the Cultivation Business associated with discontinued operations in the Condensed Consolidated Balance Sheets as of September 30, 2026 and December 31, 2025. For further discussion on the discontinued operations, refer to Note 6 included elsewhere in the notes to the unaudited condensed consolidated financial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30, 2025, the Company approved the winding down of the Extraction Business by March 31, 2025, including but not limited to, the sale or other disposal of all remaining assets constituting the Extraction Business, the cessation of all business operations related to the Extraction Business, the termination of any outstanding contracts related to the Extraction Business, and termination of any employees primarily involved in the Extraction Business. The results of the Extraction Business are presented as discontinued operations in the Condensed Consolidated Statements of Operations and, as such, have been excluded from continuing operations. Further, the Company reclassified the assets and liabilities of the Extraction Business associated with discontinued operations in the Condensed Consolidated Balance Sheets as of September 30, 2026 and December 31, 2025. For further discussion on the discontinued operations, refer to Note 6 included elsewhere in the notes to the unaudited condensed consolidated financial statements.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20, 2025, the Company acquired from VCP IP Holdings, LLC (“VCP”) an indirect wholly-owned subsidiary of Green Thumb Industries Inc., a related party (“Green Thumb”), 100% of the equity interests of MC Brands, LLC pursuant to which the Company obtained rights relating to MC Brands, LLC and its wholly-owned subsidiary Core Growth LLC (together referred to as “MC Brands”). The assets of MC Brands consist primarily of intellectual property rights associated with the incredibles brand. Concurrent with the transaction, the Company entered into a license agreement with GTI Core, LLC (“GTI Core”), an indirect subsidiary of Green Thumb, pursuant to which GTI Core was granted the right to use the incredibles brand in connection with its existing businesses. Consideration payable by GTI Core under the license agreement consists of a monthly license fee payable in cash. The Company began recognizing Licensing Revenue under this agreement in May 2025.</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27, 2025, the Company acquired from VCP23, LLC an indirect wholly-owned subsidiary of Green Thumb (“VCP23”), 100% of the equity interests of VCP pursuant to which the Company obtained rights relating to VCP. The assets of VCP, consist primarily of intellectual property rights to the RYTHM, Beboe, Dogwalkers, Doctor Solomon’s, &amp;Shine, and Good Green brands (these rights, together with the incredibles brand rights, referred to as “Brand Rights”). Concurrent with the transaction, the Company entered into a license agreement with GTI Core pursuant to which GTI Core was granted the right to use the Brand Rights in connection with its existing businesses. Consideration payable by GTI Core under the license agreement consists of a monthly license fee payable in cash. The Company began recognizing Licensing Revenue under this agreement in November 2025.</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31, 2026, the Company amended the license agreements with GTI Core described above to replace sales-based royalty consideration with fixed annual fees, effective April 1, 2026. Under the amended terms, the Company is entitled to aggregate fixed payments of $70 million per year, subject to annual escalation based on a 2x multiple of changes in the Consumer Price Index (“CPI”) beginning January 1, 2027, subject to a maximum year-over-year increase of 10%. The Company recognizes this revenue on a ratable basis over the license term as the customer receives continuous access to the intellectual property.</w:t>
      </w:r>
    </w:p>
    <w:p>
      <w:pPr>
        <w:spacing w:after="0" w:line="18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Although we believe there is currently growing demand for hemp-derived THC products as consumers continue to migrate away from traditional beer and wine products, the regulatory landscape governing such products is becoming increasingly complex and uncertain across multiple dimensions. At the federal level, legislation passed on November 12, 2025 to reopen the U.S. federal government, the Continuing Appropriations, Agriculture, Legislative Branch, Military Construction and Veterans Affairs, and Extensions Act, 2026 (Public Law 119-37) (the “2026 Appropriations Act”), contained a provision that would materially alter the federal definition of hemp-derived products by restricting such products to no more than 0.4 milligrams of total THC per container, to be effective on November 12, 2026. Subsequent legislation enacted on September 2, 2026 delayed the application of the 0.4 milligram per-container restriction to certain products including ours, until December 11, 2026. As of the applicable effective date, products that do not comply with the revised federal definition will be classified as “marijuana” under the Controlled Substances Act (the “CSA”). At the state level, legislative and regulatory responses remain ongoing, uneven and subject to considerable uncertainty. Certain states have enacted legislation conforming state law to the revised federal definition of hemp, while other states continue to permit, or have newly permitted, the sale of hemp-derived THC products. The federal extension does not preempt or otherwise extend applicable state-level restrictions, and certain state restrictions tied to the original November 12, 2026 effective date may therefore remain in effect or become effective as of that earlier date. Our current hemp-derived THC products exceed these limits and, unless this legislation is amended prior to its effective date or the effective date is further extended, we believe it would require us to significantly reformulate or discontinue our current hemp-derived THC product lines or move to produce the products in Drug Enforcement Administration (“DEA”) registered state-licensed medical marijuana facilities deemed legal under federal law, which would require time and additional investment to establish compliant production and distribution pathways, significantly increase our expenses, and materially restrict access to our existing traditional retail and other non-dispensary channels.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firstLine="324"/>
        <w:spacing w:after="0" w:line="276" w:lineRule="auto"/>
        <w:rPr>
          <w:sz w:val="20"/>
          <w:szCs w:val="20"/>
          <w:color w:val="auto"/>
        </w:rPr>
      </w:pPr>
      <w:r>
        <w:rPr>
          <w:rFonts w:ascii="Times New Roman" w:cs="Times New Roman" w:eastAsia="Times New Roman" w:hAnsi="Times New Roman"/>
          <w:sz w:val="17"/>
          <w:szCs w:val="17"/>
          <w:color w:val="auto"/>
        </w:rPr>
        <w:t>Federal cannabis rescheduling developments also introduce additional complexity to the regulatory market in which we operate. The DEA’s April 2026 actions placed certain Food and Drug Administration-approved marijuana products and qualifying state-licensed medical marijuana products in Schedule</w:t>
      </w:r>
    </w:p>
    <w:p>
      <w:pPr>
        <w:spacing w:after="0" w:line="1" w:lineRule="exact"/>
        <w:rPr>
          <w:sz w:val="20"/>
          <w:szCs w:val="20"/>
          <w:color w:val="auto"/>
        </w:rPr>
      </w:pPr>
    </w:p>
    <w:p>
      <w:pPr>
        <w:jc w:val="both"/>
        <w:ind w:firstLine="8"/>
        <w:spacing w:after="0" w:line="252" w:lineRule="auto"/>
        <w:tabs>
          <w:tab w:leader="none" w:pos="2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CSA but expressly left hemp outside its scope. Ongoing Administrative Law Judge proceedings addressing the broader scheduling status of marijuana, including marijuana products and activities not covered by the DEA’s April 2026 actions, could further alter the federal regulatory framework in ways that may have downstream implications for hemp-derived THC products that are difficult to predict. Concurrently, states and municipalities are increasingly enacting or enforcing laws governing hemp-derived THC products, including potency caps, labeling requirements, age restrictions, and outright prohibitions, creating additional operational and compliance uncertainty for the Company. The ultimate impact of these federal legislative, regulatory, and state and local developments on the Company’s hemp-derived THC product lines will depend on future legislative and administrative action at each level of government and remains uncertain at this time.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interim condensed consolidated financial statements of the Company are unaudited. In the opinion of management, all adjustments (consisting of normal recurring adjustments) and disclosures necessary for a fair presentation of these unaudited condensed consolidated financial statements have been included. The results reported in the unaudited condensed consolidated financial statements for any interim periods are not necessarily indicative of the results that may be reported for the entire year. The accompanying unaudited condensed consolidated financial statements have been prepared in accordance with the rules and regulations of the Securities and Exchange Commission (the “SEC”) and do not include all information and footnotes necessary for a complete presentation of financial statements in conformity with accounting principles generally accepted in the United States (“GAAP”).</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annual consolidated financial statements prepared in accordance with GAAP have been condensed or omitted. These unaudited interim condensed consolidated financial statements should be read in conjunction with the Company’s audited consolidated financial statements and notes thereto included in the Company’s Annual Report on Form 10-K for the year ended December 31, 2025 filed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 On an ongoing basis, the Company evaluates estimates, which include estimates related to accruals, stock-based compensation expense, reported amounts of revenues during the reported period, fair value of warrant liabilities, sales tax liabilities, valuation of deferred tax assets, net realizable value of inventory and collectability of trade accounts, intangible assets, other assets (Prepaid License Rights), goodwill, and litigation. Management bases their estimates on historical experience and other market-specific or other relevant assumptions that they believe to be reasonable under the circumstances. Actual results may differ materially from those estimates or assumptions.</w:t>
      </w:r>
    </w:p>
    <w:p>
      <w:pPr>
        <w:spacing w:after="0" w:line="19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regularly evaluates its assets, including asset groups or reporting units, for impairment in accordance with GAAP. The Company is aware of the impact that prolonged net losses can have on the fair value of underlying assets and the overall company. The Company is committed to ensuring that the carrying amounts of its assets are appropriately assessed and adjusted for any impairment.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31, 2024, the Company entered into and closed the Purchase Agreement with CP. Under the Purchase Agreement, CP acquired assets from the Company relating to the Cultivation Business. On March 30, 2025, the Company discontinued the Extraction Business (together with the Cultivation Business, the “Discontinued Operations”).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As the sale of the Cultivation Business and the exit of the Extraction Business represented strategic shifts that will have a major effect on the Company’s operations and financial results, they have been presented in discontinued operations in accordance with Accounting Standards Codification (“ASC”) 205,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separate from continuing operations for the three months and nine months ended September 30, 2026 and 2025, in the Company’s condensed consolidated statement of operations and applicable footnotes, and as of September 30, 2026 and December 31, 2025, in the Company’s condensed consolidated balance sheets, as applicable. For further discussion, refer to Note 6 included elsewhere in the notes to the unaudited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Accounts receivable, net, primarily consists of amounts for goods and services that are billed and currently due from customers. In accordance with the current expected credit loss (“CECL”) impairment model under Accounting Standards Update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326)</w:t>
      </w:r>
      <w:r>
        <w:rPr>
          <w:rFonts w:ascii="Times New Roman" w:cs="Times New Roman" w:eastAsia="Times New Roman" w:hAnsi="Times New Roman"/>
          <w:sz w:val="18"/>
          <w:szCs w:val="18"/>
          <w:color w:val="auto"/>
        </w:rPr>
        <w:t>, accounts receivable balances are presented net of an allowance for credit losses, which are an estimate of billed or borrowed amounts that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 collectible. In determining the amount of the allowance at each reporting date, management makes judgments about general economic conditions, historical write-off experience, and any specific risks identified in customer or borrower collection matters, including the aging of unpaid accounts receivable and changes in customer or borrower financial conditions. Accounts receivable balances are written off after all means of collection are exhausted and the potential for non-recovery is determined to be probable. Adjustments to the allowance for credit losses are recorded as general and administrative expenses in the unaudited condensed consolidated statements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Significant Customer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primarily consist of cash, cash equivalents, and accounts receivable. Cash equivalents primarily consist of money market funds with original maturities of three months or less, which are invested primarily with U.S. financial institutions. Cash deposits with financial institutions generally exceed federally insured limits. Management believes minimal credit risk exists with respect to these financial institutions and the Company has not experienced any losses on such amounts.</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the Company had one related party customer that accounted for 74% of the total revenue from continuing operations. For the three months ended September 30, 2025, one related-party customer and three third-party customers each accounted for 10% or more of total revenue from continuing operations, representing between 11% and 26% of total revenue from continuing operations.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one related-party customer accounted for 75% of total revenue from continuing operations. For the nine months ended September 30, 2025, three third-party customers each accounted for 10% or more of total revenue from continuing operations, representing between 10% and 28% of total revenue from continuing operations.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one related-party customer accounted for 74% and 75% of the Company’s accounts receivable,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values all its inventories, which consist primarily of finished goods and raw materials, at the lower of cost or net realizable value, with cost principally determined by the weighted-average cost method. Write-offs of potentially slow-moving or damaged inventory are recorded through specific identification of obsolete or damaged material. The Company takes a physical inventory count at least once annually at all significant inventory locations.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Goodwill is defined as the excess of cost over the fair value of assets acquired and liabilities assumed in a business combination. Goodwill is tested for impairment annually, and more frequently if events and circumstances indicate that the asset might be impaired. A goodwill impairment charge is recorded if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and/or a decline in the Company’s market value as a result of a significant sustained decline in the Company’s stock price.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Goodwill is not subject to amortization and is tested annually for impairment, or more frequently if events or changes in circumstances indicate there might be an impairment. An impaired asset is written down to its estimated fair value based upon the most recent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Long-lived assets are evaluated for impairment whenever events or changes in circumstances indicate the carrying value may not be recoverable. Examples include a significant adverse change in the extent or manner in which we use the asset, or an unexpected change in financial performance. When evaluating long-lived assets for impairment, we compare the carrying value of the asset to the asset’s estimated undiscounted future cash flows. An impairment is indicated if the estimated future cash flows are less than the carrying value of the asset. The impairment is the excess of the carrying value over the fair value of the asset.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evaluates all its financial instruments, including issued private placement stock purchase warrants, to determine if such instruments are derivatives or contain features that qualify as embedded derivatives, pursuant to Accounting Standards Codification (“ASC”) Topic 480, </w:t>
      </w:r>
      <w:r>
        <w:rPr>
          <w:rFonts w:ascii="Times New Roman" w:cs="Times New Roman" w:eastAsia="Times New Roman" w:hAnsi="Times New Roman"/>
          <w:sz w:val="18"/>
          <w:szCs w:val="18"/>
          <w:i w:val="1"/>
          <w:iCs w:val="1"/>
          <w:color w:val="auto"/>
        </w:rPr>
        <w:t>Distinguishing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from Equity </w:t>
      </w:r>
      <w:r>
        <w:rPr>
          <w:rFonts w:ascii="Times New Roman" w:cs="Times New Roman" w:eastAsia="Times New Roman" w:hAnsi="Times New Roman"/>
          <w:sz w:val="18"/>
          <w:szCs w:val="18"/>
          <w:color w:val="auto"/>
        </w:rPr>
        <w:t>(“ASC 480”) and ASC Topic 815,</w:t>
      </w:r>
      <w:r>
        <w:rPr>
          <w:rFonts w:ascii="Times New Roman" w:cs="Times New Roman" w:eastAsia="Times New Roman" w:hAnsi="Times New Roman"/>
          <w:sz w:val="18"/>
          <w:szCs w:val="18"/>
          <w:i w:val="1"/>
          <w:iCs w:val="1"/>
          <w:color w:val="auto"/>
        </w:rPr>
        <w:t xml:space="preserve"> Derivatives and Hedging </w:t>
      </w:r>
      <w:r>
        <w:rPr>
          <w:rFonts w:ascii="Times New Roman" w:cs="Times New Roman" w:eastAsia="Times New Roman" w:hAnsi="Times New Roman"/>
          <w:sz w:val="18"/>
          <w:szCs w:val="18"/>
          <w:color w:val="auto"/>
        </w:rPr>
        <w:t>(“ASC 815”). The Company accounts for warrants as either equity-classified or liability-classified instruments based on an assessment of the warrant’s specific terms and applicable authoritative guidance in ASC 480 and ASC 815. Management’s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the Company’s own Common Stock among other conditions for equity classification.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Issued or modified warrants that meet all of the criteria for equity classification are recorded as a component of additional paid-in capital at the time of issuance. Issued or modified warrants that are precluded from equity classification are recorded as a liability at their initial fair value on the date of issuance and subject to remeasurement on each balance sheet date with changes in the estimated fair value of the warrants to be recognized as an unrealized gain or loss in the unaudited condensed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 Payable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evaluates its convertible instruments to determine if those contracts or embedded components of those contracts qualify as derivative financial instruments to be separately accounted for in accordance with ASC 815. ASC 815 requires that the Company identify and record certain embedded conversion options, certain variable-share settlement features, and any related freestanding instruments at their fair values as of the inception date of the agreement and at fair value as of each subsequent balance sheet date. Any change in fair value is recorded as an unrealized non-operating,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operating lease liabilities, long-term debt, related-party debt, and warrant liabilities. Refer to Note 4 - Fair Value Measures, included elsewhere in the notes to the unaudited condensed consolidated financial statements for details of the Company’s financial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measures restricted stock units and stock options awards granted to employees, directors and consultants based on the fair value on the date of the grant and recognizes compensation expense of those awards over the requisite service period, which is generally the vesting period of the respective award. Forfeitures are recognized as incurred. Historically, the Company has issued restricted stock units and stock options to employees, directors and consultants with only service-based vesting conditions and records the expense for these awards using the straight-line method.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within the unaudited condensed consolidated statements of operations based on the function performed by the award recipient, consistent with the classification of the recipient’s other compensation costs.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each stock option grant on the date of the grant using the Black-Scholes option-pricing model.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 and Asset Acquisitions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follows the guidance in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for determining the appropriate accounting treatment for asset acquisitions. ASU 2017-01, </w:t>
      </w:r>
      <w:r>
        <w:rPr>
          <w:rFonts w:ascii="Times New Roman" w:cs="Times New Roman" w:eastAsia="Times New Roman" w:hAnsi="Times New Roman"/>
          <w:sz w:val="18"/>
          <w:szCs w:val="18"/>
          <w:i w:val="1"/>
          <w:iCs w:val="1"/>
          <w:color w:val="auto"/>
        </w:rPr>
        <w:t>Clarifying the Definition of a Business</w:t>
      </w:r>
      <w:r>
        <w:rPr>
          <w:rFonts w:ascii="Times New Roman" w:cs="Times New Roman" w:eastAsia="Times New Roman" w:hAnsi="Times New Roman"/>
          <w:sz w:val="18"/>
          <w:szCs w:val="18"/>
          <w:color w:val="auto"/>
        </w:rPr>
        <w:t>, provides an initial fair value screen to determine if substantially all of the fair value of the assets acquired is concentrated in a single asset or group of similar assets. If the initial screening test is not met, the set is considered a business based on whether there are inputs and substantive processes in place. Based on the results of this analysis and conclusion on an acquisition’s classification of a business combination or an asset acquisition, the accounting treatment is derived.</w:t>
      </w:r>
    </w:p>
    <w:p>
      <w:pPr>
        <w:spacing w:after="0" w:line="18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the acquisition is deemed to be a business, the purchase method of accounting is applied. The estimated fair value of net assets acquired, including the allocation of the fair value to identifiable assets and liabilities, is determined using established valuation techniques. A fair value measurement is determined as the price received to sell an asset or pay to transfer a liability in an orderly transaction between market participants at the measurement date. In the context of purchase accounting, the determination of fair value often involves significant judgments and estimates by management, including the selection of valuation methodologies, estimates of future revenues, costs and cash flows, discount rates, and selection of comparable companies. The estimated fair values reflected in the purchase accounting rely on management’s judgment and the expertise of a third-party valuation firm engaged to assist in concluding on the fair value measurements. In determining the fair value of all identifiable assets and liabilities acquired, the most significant estimates relate to intangible assets. For the intangible assets identified, depending on the type of intangible asset and the complexity of determining its fair value, the fair value is developed using appropriate valuation techniques, taking into account assumptions such as the expected future revenue, expected use of the asset, market conditions, uncertainty factors, the estimated useful life, and discount rate, among other factors. These assumptions may vary based on future events, perceptions of different market participants and other factors outside the control of management, and such variations may be significant to estimated values.</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transaction is deemed to be an asset acquisition, the cost accumulation and allocation model is used whereby the assets and liabilities are recorded based on the purchase price and allocated to the individual assets and liabilities based on relative fair values. For the allocation of intangible assets identified, depending on the type of intangible asset and the complexity of determining its relative fair value, an independent valuation expert or management may allocate the relative fair value, using appropriate valuation techniques, which are generally based on a forecast of the total expected future net cash flows and takes into consideration other significant assumptions such as the expected use, market uncertainty, marketing or sales support requirements and the intangible asset useful lives.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Prepaid License Rights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 sale arrangement includes terms—such as repurchase features or other provisions—that prevent the buyer from obtaining control of the business or assets, the Company concludes that control has not transferred. In those circumstances, the arrangement is accounted for based on its substance under other applicable GAAP. In connection with such arrangements, amounts paid for licensing rights are deferred and recorded as prepaid licensing rights on the Company’s unaudited condensed consolidated balance sheets. These amounts are recognized in expense over the period in which the related rights are utilized or otherwise as the underlying economic benefit is consumed.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generates revenue from continuing operations through the sale of hemp-derived THC products (Non-licensing Revenue) and Licensing Revenue. The Company licenses intellectual property to a related party. Prior to April 1, 2026, these arrangements provided for sales-based royalties and Licensing Revenue was recognized in accordance with ASC Topic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(“ASC 606”), specifically, the sales-based royalty exception, through March 31, 2026.</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Through March 31, 2026, in accordance with ASC 606-10-55-65 through 55-65B, Licensing Revenue is recognized only when the underlying sale by the licensee occurs, and the performance obligation has otherwise been satisfied. This approach ensures that revenue is recognized in the period in which it is earned and determinable, consistent with the transfer of control of the intellectual property to the licensee.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Effective April 1, 2026, the Company amended its licensing agreements with subsidiaries of Green Thumb to replace sales-based royalty consideration with fixed annual fees. Under the amended terms, the Company is entitled to aggregate fixed payments of $70 million per year, subject to annual escalation based on a two times multiple of changes in the CPI beginning January 1, 2027, subject to a maximum year-over-year increase of 10%. The Company recognizes this revenue on a ratable basis over the license term as the licensees receive continuous access to the intellectual property.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purposes of ASC 606, the transaction price for these arrangements includes fixed consideration and variable consideration related to CPI-based adjustments. Per ASC 606, variable consideration is included in the transaction price only to the extent that it is probable that a significant reversal of cumulative revenue will not occur. As of September 30, 2026, CPI-based adjustments are considered constrained and are therefore excluded from the transaction price and will be recognized as revenue in the period in which the uncertainty is resolved.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Effective April 1, 2026, in accordance with ASC 606-10-50-13, the Company is required to include disclosure on its remaining performance obligations as of the end of the current reporting period. The Company excluded variable consideration related to CPI-based fee escalators from the total remaining performance obligations, as such amounts are not included in the transaction price due to the application of the constraint. The Company expects to recognize such variable consideration in the period in which the related uncertainty is resolved. Actual amounts and timing of revenue recognition may differ from these estimates due to contract modifications, CPI-based price increases, or the exercise of contractual repurchase rights by Green Thumb.</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340"/>
        <w:spacing w:after="0"/>
        <w:rPr>
          <w:sz w:val="20"/>
          <w:szCs w:val="20"/>
          <w:color w:val="auto"/>
        </w:rPr>
      </w:pPr>
      <w:r>
        <w:rPr>
          <w:rFonts w:ascii="Times New Roman" w:cs="Times New Roman" w:eastAsia="Times New Roman" w:hAnsi="Times New Roman"/>
          <w:sz w:val="18"/>
          <w:szCs w:val="18"/>
          <w:color w:val="auto"/>
        </w:rPr>
        <w:t>In accordance with ASC 606, revenue for hemp-derived THC products (non-licensing) is recognized through a five-step model, as outlined below:  </w:t>
      </w:r>
    </w:p>
    <w:p>
      <w:pPr>
        <w:spacing w:after="0" w:line="221" w:lineRule="exact"/>
        <w:rPr>
          <w:sz w:val="20"/>
          <w:szCs w:val="20"/>
          <w:color w:val="auto"/>
        </w:rPr>
      </w:pPr>
    </w:p>
    <w:p>
      <w:pPr>
        <w:jc w:val="both"/>
        <w:ind w:left="660" w:hanging="328"/>
        <w:spacing w:after="0" w:line="26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Identify the customer contract: </w:t>
      </w:r>
      <w:r>
        <w:rPr>
          <w:rFonts w:ascii="Times New Roman" w:cs="Times New Roman" w:eastAsia="Times New Roman" w:hAnsi="Times New Roman"/>
          <w:sz w:val="18"/>
          <w:szCs w:val="18"/>
          <w:color w:val="auto"/>
        </w:rPr>
        <w:t>A customer contract is identified when there is mutual approval and commitment between the Company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 the rights and obligations are clear, payment terms are set, the contract has commercial substance, and collectability is probable. Written or electronic signatures on contracts and purchase orders are obtained if such orders are issued in the normal course of business by the customer.</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Identify performance obligations that are distinct: </w:t>
      </w:r>
      <w:r>
        <w:rPr>
          <w:rFonts w:ascii="Times New Roman" w:cs="Times New Roman" w:eastAsia="Times New Roman" w:hAnsi="Times New Roman"/>
          <w:sz w:val="18"/>
          <w:szCs w:val="18"/>
          <w:color w:val="auto"/>
        </w:rPr>
        <w:t>The Company identifies distinct performance obligations in each contract. A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is considered distinct if the customer can benefit from the good or service on its own or with readily available resources, and if it is separately identifiable from other promises in the contract. The Company’s revenue-generating activities typically have a single performance obligation.</w:t>
      </w:r>
    </w:p>
    <w:p>
      <w:pPr>
        <w:spacing w:after="0" w:line="176" w:lineRule="exact"/>
        <w:rPr>
          <w:rFonts w:ascii="Times New Roman" w:cs="Times New Roman" w:eastAsia="Times New Roman" w:hAnsi="Times New Roman"/>
          <w:sz w:val="18"/>
          <w:szCs w:val="18"/>
          <w:color w:val="auto"/>
        </w:rPr>
      </w:pPr>
    </w:p>
    <w:p>
      <w:pPr>
        <w:jc w:val="both"/>
        <w:ind w:left="660" w:right="20" w:hanging="328"/>
        <w:spacing w:after="0" w:line="26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Determine the transaction price</w:t>
      </w:r>
      <w:r>
        <w:rPr>
          <w:rFonts w:ascii="Times New Roman" w:cs="Times New Roman" w:eastAsia="Times New Roman" w:hAnsi="Times New Roman"/>
          <w:sz w:val="18"/>
          <w:szCs w:val="18"/>
          <w:color w:val="auto"/>
        </w:rPr>
        <w:t>: The transaction price is the amount of consideration the Company expects to receive in exchange for the sale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product. This amount is determined excluding sales taxes collected on behalf of government agencies and net of any sales discounts, incentives, and returns.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Allocate the transaction price to distinct performance obligations</w:t>
      </w:r>
      <w:r>
        <w:rPr>
          <w:rFonts w:ascii="Times New Roman" w:cs="Times New Roman" w:eastAsia="Times New Roman" w:hAnsi="Times New Roman"/>
          <w:sz w:val="18"/>
          <w:szCs w:val="18"/>
          <w:color w:val="auto"/>
        </w:rPr>
        <w:t>: The transaction price is allocated to each distinct performance obligation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the relative standalone selling prices (“SSP”) of the goods or services provided. If a contract involves multiple performance obligations, each is accounted for separately if distinct, and the SSP reflects the price the Company would charge if the good or service were sold separately in similar circumstances and to similar customers.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Recognize revenue as the performance obligations are satisfied: </w:t>
      </w:r>
      <w:r>
        <w:rPr>
          <w:rFonts w:ascii="Times New Roman" w:cs="Times New Roman" w:eastAsia="Times New Roman" w:hAnsi="Times New Roman"/>
          <w:sz w:val="18"/>
          <w:szCs w:val="18"/>
          <w:color w:val="auto"/>
        </w:rPr>
        <w:t>Revenue from the sale of hemp-derived THC products (non-licensing)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recognized when control of the product transfers to the customer, typically upon delivery or shipment, as the customer assumes the risks and rewards of ownership. Payment terms vary by customer, but the time between revenue recognition and payment due is generally not significant. For products sold under consignment arrangements, revenue is recognized only when control is transferred to the end customer. Payments for slotting, listing fees, or other marketing or promotional activities, where legally permitted, are recorded as a reduction in revenue unless a distinct good or service is received in exchange.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Return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pending federal ban on hemp-derived THC products effective December 11, 2026, subject to state-level restrictions where applicable, the Company is monitoring the potential effect on its distribution agreements. Under the Company’s distribution agreements, distributors retain the contractual right to require the Company to repurchase product in the event of a regulatory recall or product ban, which represents variable consideration under ASC 606. Consistent with ASC 606-10-55-23, the Company recognizes revenue only to the extent it is probable that a significant reversal in cumulative revenue recognized will not occur. The Company recognizes a refund liability representing the portion of consideration received that it expects to refund. Management evaluated expected distributor repurchases as of September 30, 2026, considering distributor inventory levels and historical sales, and the applicable regulatory effective dates. Based on this assessment, management determined that expected returns associated with products sold through September 30, 2026 were not material, and accordingly, no refund liability was recorded.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income taxes pursuant to the provisions of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tax asset will not be realized.</w:t>
      </w:r>
    </w:p>
    <w:p>
      <w:pPr>
        <w:spacing w:after="0" w:line="18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 the benefit of a tax position is recognized in the unaudited condensed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has recorded liabilities for unrecognized tax benefits related to research and development tax credits.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the benefit of a tax position when it is effectively settled. ASC 740, provides guidance on how an entity should determine whether a tax position is effectively settled for the purpose of recognizing previously unrecognized tax benefits. ASC 740 clarifies that a tax position can be effectively settled upon the completion of an examination by a taxing authority. For tax positions considered effectively settled, the Company recognizes the full amount of the tax benefit.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provision for income taxes is measured using an annual effective tax rate, adjusted for discrete items within the period presented. To determine the annual effective tax rate, the Company estimates both the total income (loss) before income taxes for the full year and the jurisdictions in which that income (loss) is subject to tax. The actual effective tax rate for the full year may differ from these estimates if income (loss) before income taxes is greater than or less than what was estimated or if the allocation of income (loss) to jurisdictions in which it is taxed is different from the estimated allocations.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provision for income taxes represents federal, state and local income taxes. The effective rate differs from statutory rates due to the Company’s release of valuation allowance during the nine months ended September 30, 2026 that was previously offsetting deferred tax assets. Our effective tax rate may change from quarter to quarter based on recurring and non-recurring factors including, but not limited to, the geographical mix of earnings, enacted tax legislation, and state and local income taxes. In addition, changes in judgment from the evaluation of new information resulting in the recognition, derecognition or re-measurement of a tax position taken in a prior annual period is recognized separately in the quarter of the change.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Tax contingencies are recorded, if needed, to address potential exposure involving tax positions the Company has taken that could be challenged by tax authorities. These potential exposures could result from applications of various statutes, rules, regulations and interpretations. Any estimates of tax contingencies contain assumptions and judgments about potential actions by taxing jurisdictions. Any interest and penalties related to uncertain tax positions would be included as part of the income tax provision. The Company’s conclusions regarding uncertain tax positions may be subject to review and adjustment at a later date based upon ongoing analysis of or changes in tax laws, regulations and interpretations thereof as well as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presents basic and diluted net income (loss) per share 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260”). Basic income (loss) per share is computed using the two-class method, when participating securities are outstanding, under which net income is allocated to common stockholders and participating securities based on their respective rights to receive dividends. The Company’s participating securities consist of pre-funded warrants whose underlying shares are contingently issuable. Accordingly, net income attributable to its Common Stockholders may differ from reported net income in periods of net income.</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Basic income (loss) per share is calculated by dividing net income (loss) attributable to Common Stockholders by the weighted-average number of shares of Common Stock outstanding during the period. Diluted income (loss) per share reflects the potential dilution that could occur if securities or other contracts to issue Common Stock were exercised or converted into Common Stock. The Company determines diluted income (loss) per share by applying the most dilutive method for each class of potentially dilutive securities. The treasury stock method is applied to stock options, restricted stock units, and liability-classified common stock warrants, the if-converted method is applied to convertible notes, and the two-class method is applied to participating securities. For instruments subject to the two-class method, the Company applies a hybrid approach in which income is allocated after giving effect to adjustments from other dilutive securities.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periods of net income, a portion of income is allocated to participating securities and deducted in determining income attributable to Common Stockholders. In periods of net loss, losses are not allocated to participating securities, as they do not have a contractual obligation to share in losses. In such periods, basic and diluted net loss per share are the same, as potentially dilutive securities are anti-dilutive. See Note 14 – Net Income (Loss) Per Share for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2024-04, </w:t>
      </w:r>
      <w:r>
        <w:rPr>
          <w:rFonts w:ascii="Times New Roman" w:cs="Times New Roman" w:eastAsia="Times New Roman" w:hAnsi="Times New Roman"/>
          <w:sz w:val="18"/>
          <w:szCs w:val="18"/>
          <w:i w:val="1"/>
          <w:iCs w:val="1"/>
          <w:color w:val="auto"/>
        </w:rPr>
        <w:t>Debt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Conversion and Other Options </w:t>
      </w:r>
      <w:r>
        <w:rPr>
          <w:rFonts w:ascii="Times New Roman" w:cs="Times New Roman" w:eastAsia="Times New Roman" w:hAnsi="Times New Roman"/>
          <w:sz w:val="18"/>
          <w:szCs w:val="18"/>
          <w:color w:val="auto"/>
        </w:rPr>
        <w:t>(“ASU 2024-04”), which clarifies the requirements for determining whether certain settlements of convertible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instruments should be accounted for as an induced conversion. ASU 2024-04 is effective for annual periods beginning after December 15, 2025, and interim reporting periods within those annual reporting periods. Early adoption is permitted for all entities that have adopted the amendments in ASU 2020-06, </w:t>
      </w:r>
      <w:r>
        <w:rPr>
          <w:rFonts w:ascii="Times New Roman" w:cs="Times New Roman" w:eastAsia="Times New Roman" w:hAnsi="Times New Roman"/>
          <w:sz w:val="18"/>
          <w:szCs w:val="18"/>
          <w:i w:val="1"/>
          <w:iCs w:val="1"/>
          <w:color w:val="auto"/>
        </w:rPr>
        <w:t>Debt - Debt with Conversion and Other Options and Derivatives and Hedging – Contracts in Entity’s Own Equity</w:t>
      </w:r>
      <w:r>
        <w:rPr>
          <w:rFonts w:ascii="Times New Roman" w:cs="Times New Roman" w:eastAsia="Times New Roman" w:hAnsi="Times New Roman"/>
          <w:sz w:val="18"/>
          <w:szCs w:val="18"/>
          <w:color w:val="auto"/>
        </w:rPr>
        <w:t>. The Company adopted this new standard on January 1, 2026 on a prospective basis and the adoption of ASU 2024-04 did not have a material impact on the Company’s unaudited condensed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Announced Accounting Pronouncements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(Topic 220): Disaggregation of Income Statement Expenses. This guidance requires additional disclosure of certain amounts included in the expense captions presented on the Statement of Operations as well as disclosures about selling expenses. This ASU is effective on a prospective basis, with the option for retrospective application, for annual periods beginning after December 15, 2026 and interim reporting periods beginning after December 15, 2027. Early adoption is permitted for annual financial statements that have not yet been issued. The Company is currently evaluating the impact of this ASU on its condensed consolidated financial statements and related disclosures.</w:t>
      </w:r>
    </w:p>
    <w:p>
      <w:pPr>
        <w:spacing w:after="0" w:line="1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xml:space="preserve"> (Topic 270) (“ASU 2025-11”), Narrow-Scope Improvements, to provide clarity about the current requirements, rather than evaluate whether to expand or reduce interim disclosure requirements. The amendments in ASU 2025-11 result in a comprehensive list of interim disclosures that are required by GAAP. The amendments in ASU 2025-11 also include a disclosure principle that requires entities to disclose events since the end of the last annual reporting period that have a material impact on the entity. The amendments in ASU 2025-11 are effective for interim reporting periods within annual reporting periods beginning after December 15, 2027 and early adoption is permitted. The amendments in ASU 2025-11 can be applied either prospectively or retrospectively to any or all prior periods presented in the financial statements. The Company is currently evaluating the disclosure impact that ASU 2025-11 may have on its financial statement presentation and disclosures.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(“ASU 2025-12”), which includes various amendments to the FASB Accounting Standards Codification intended to clarify, correct, and improve existing guidance. ASU 2025-12 is effective for annual reporting periods beginning after December 15, 2026, and interim reporting periods within those annual reporting periods. Early adoption is permitted. The Company is currently evaluating the impact that ASU 2025-12 may have on its financial statement presentation and disclosures.</w:t>
      </w:r>
    </w:p>
    <w:p>
      <w:pPr>
        <w:spacing w:after="0" w:line="18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did not or are not believed by management to have a material impact on the Company’s present or future condensed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required to evaluate whether there are conditions or events, considered in aggregate, that raise substantial doubt about the Company’s ability to continue as a going concern within one year after the date that the financial statements are issued. Substantial doubt exists when conditions and events, considered in aggregate, indicate that it is probable that a company will be unable to meet its obligations as they become due within one year after the date that the condensed consolidated financial statements are issued.</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a history of recurring net losses and negative cash flow in operating activities. However, for the nine months ended September 30, 2026, the Company generated positive cash flow from operating activities of $16.0 million, primarily from contractual Licensing Revenue, and reported net income of $20.6 million, primarily as a result of a non-cash income tax benefit of $26.8 million from the release of a valuation allowance. Management believes that the Company’s $48.2 million of cash and cash equivalents, anticipated contractual Licensing Revenue and ability to address outstanding Convertible Notes will be sufficient to meet its cash requirements through at least the 12-month period following the date that these condensed consolidated financial statements were issued.</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Convertible Notes maturities of $80.0 million exist through February 2027, of which $72.0 million is held by a subsidiary of Green Thumb Industries, a related party. Of this amount, $30.0 million matures on November 22, 2026, including $27.0 million held by the Green Thumb subsidiary. The Company’s cash and cash equivalents of $48.2 million are sufficient to satisfy the $30.0 million near-term maturity, and the Company is in active discussions with Green Thumb regarding an extension of the $27.0 million portion. Beyond the near-term maturity addressed above, if the holders of the Convertible Notes elect to be paid in cash upon maturity, it could raise substantial doubt about the Company’s ability to continue as a going concern. However, while these remaining obligations require management attention, management believes it is probable that they will be addressed through extension or conversion consistent with historical practice. Accordingly, the financial statements have been prepared on a going concern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generates revenue from continuing operations from Non-licensing Revenue and Licensing Revenue.</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2026, the Company generated revenue from continuing operations from hemp-derived product sales (Non-licensing Revenue) and Licensing Revenue. Hemp-derived product sales revenue is recognized at a point-in-time when control transfers to the customer.</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Licensing Revenue prior to April 1, 2026 was sales-based and recognized over time as the underlying sales occur in accordance with the terms of the related party license agreements, which commenced in May 2025. Effective April 1, 2026, the licensing arrangements were amended to provide for a fixed annual fee and Licensing Revenue is recognized on a ratable basis over the license term. For the three and nine months ended September 30, 2025, Non-Licensing Revenue from continuing operations is transferred at a point-in-time and relates to hemp-derived beverages.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Company’s revenue from continuing operations disaggregated by revenue type: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Non-licensing Revenue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2"/>
              </w:rPr>
              <w:t>15,188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17,500</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532</w:t>
            </w:r>
          </w:p>
        </w:tc>
        <w:tc>
          <w:tcPr>
            <w:tcW w:w="240" w:type="dxa"/>
            <w:vAlign w:val="bottom"/>
          </w:tcPr>
          <w:p>
            <w:pPr>
              <w:spacing w:after="0"/>
              <w:rPr>
                <w:sz w:val="19"/>
                <w:szCs w:val="19"/>
                <w:color w:val="auto"/>
              </w:rPr>
            </w:pPr>
          </w:p>
        </w:tc>
        <w:tc>
          <w:tcPr>
            <w:tcW w:w="10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44,975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7"/>
        </w:trPr>
        <w:tc>
          <w:tcPr>
            <w:tcW w:w="59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23,857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60,163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6,623</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of September 30, 2026, the aggregate amount of contractual Licensing Revenue allocated to remaining performance obligations is approximately $273.4 million. This represents fixed fees through August 27, 2030, reflecting the period prior to which neither party may terminate unilaterally; mutual termination remains available throughout the term. The Company expects to recognize this amount as revenue ratably over that period. The Company excluded variable consideration related to CPI-based fee escalators from the total remaining performance obligations, as such amounts are constrained and not included in the transaction price. As described in Note 8 and Note 15, an affiliate of Green Thumb holds a call option to repurchase some or all of the MC Brands and VCP intellectual property rights licensed under these arrangements, upon the occurrence of specified eligibility conditions, none of which had been satisfied as of September 30, 2026. Federal restrictions on hemp-derived THC products are currently scheduled to become effective on December 11, 2026, which, if effective as scheduled, would satisfy one of the eligibility conditions, although exercise would remain solely within the discretion of Green Thumb and its affiliates. If the option is exercised, the Company would no longer recognize Licensing Revenue related to the repurchased intellectual property rights for periods after the repurchase, and the remaining performance obligations would be reduced for the repurchased intellectual property rights.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 Supplemental Condensed Consolidated Balance Sheet Information</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net, consisted of the following as of September 30, 2026 and December 31, 2025:</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1"/>
                <w:szCs w:val="21"/>
                <w:color w:val="auto"/>
              </w:rPr>
            </w:pP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7,771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9,317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The movement of the Company’s credit losses accounts were as follows: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1"/>
                <w:szCs w:val="21"/>
                <w:color w:val="auto"/>
              </w:rPr>
            </w:pP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(Recovery of) Provision allowance for credit losses</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 - end of period</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 September 30,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marketing</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other</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1,970</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September 30,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consulting fee</w:t>
            </w: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Accrued marketing fee</w:t>
            </w: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related fees</w:t>
            </w: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Litigation reserve</w:t>
            </w: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distributor termination fee</w:t>
            </w: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Accrued fulfillment and manufacturing related costs</w:t>
            </w: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7"/>
        </w:trPr>
        <w:tc>
          <w:tcPr>
            <w:tcW w:w="4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vMerge w:val="continue"/>
            <w:shd w:val="clear" w:color="auto" w:fill="CCEEFF"/>
          </w:tcPr>
          <w:p>
            <w:pPr>
              <w:spacing w:after="0"/>
              <w:rPr>
                <w:sz w:val="21"/>
                <w:szCs w:val="21"/>
                <w:color w:val="auto"/>
              </w:rPr>
            </w:pPr>
          </w:p>
        </w:tc>
        <w:tc>
          <w:tcPr>
            <w:tcW w:w="4240" w:type="dxa"/>
            <w:vAlign w:val="bottom"/>
            <w:gridSpan w:val="3"/>
            <w:shd w:val="clear" w:color="auto" w:fill="CCEEFF"/>
          </w:tcPr>
          <w:p>
            <w:pPr>
              <w:ind w:left="40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7,917</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bottom w:val="single" w:sz="8" w:color="CCEEFF"/>
            </w:tcBorders>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4 — Fair Value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Assets and Liabilities</w:t>
      </w:r>
    </w:p>
    <w:p>
      <w:pPr>
        <w:spacing w:after="0" w:line="227"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Observable inputs such as quoted prices for identical assets or liabilities in active markets.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Level 2: Other inputs that are observable directly or indirectly, such as quoted prices for similar instruments in active markets, or quoted prices for identical or similar instruments in markets that are not active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Level 3: Unobservable inputs for which there is little or no market data which require the Company to develop its own assumptions about how market participants would price the asset or liability.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certain financial instruments which consist of cash and cash equivalents, accounts receivable, accounts payable, accrued expenses, operating lease liabilities, long-term debt, related party debt, and warrant liabilities. Fair value information for each of these instruments as well as other balances of the Company are as follows:</w:t>
      </w:r>
    </w:p>
    <w:p>
      <w:pPr>
        <w:spacing w:after="0" w:line="176"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accounts payable, and accrued expenses approximate their fair value based on the short-term nature of these instruments.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are presented net of an allowance for estimated credit losses, which approximates fair value.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lease liabilities approximates fair value due to the implicit discount rates used in the determination of the lease liabilities being consistent with the Company’s incremental borrowing rates at the time of lease inception and accounting for the duration of the leases.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Long-term debt and related party debt, including the debt that has undergone troubled debt restructuring, is carried at amortized cost, dictated by the prevailing market interest rates at the time of each transaction in accordance with ASC Topic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(“ASC 470”). As of September 30, 2026, the carrying amounts of the long-term and related party debt approximated their fair values due to their near-term maturity. The fair value of these instruments is classified as Level 3 within the fair value hierarchy.</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warrant liabilities are marked-to-market for each reporting period with the changes in fair value of warrant liabilities recorded in other income (expense), net in the accompanying unaudited condensed consolidated statements of operations until the warrants are exercised. The fair value of the warrant liabilities are estimated using a Black-Scholes option-pricing model.</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September 30, 2026 and December 31, 2025, the Company’s assets and liabilities measured at fair value on a recurring basis were as follows:</w:t>
      </w:r>
    </w:p>
    <w:p>
      <w:pPr>
        <w:sectPr>
          <w:pgSz w:w="11900" w:h="16838" w:orient="portrait"/>
          <w:cols w:equalWidth="0" w:num="1">
            <w:col w:w="11240"/>
          </w:cols>
          <w:pgMar w:left="320" w:top="900" w:right="339" w:bottom="1440" w:gutter="0" w:footer="0" w:header="0"/>
        </w:sectPr>
      </w:pPr>
    </w:p>
    <w:p>
      <w:pPr>
        <w:spacing w:after="0" w:line="235" w:lineRule="exact"/>
        <w:rPr>
          <w:sz w:val="20"/>
          <w:szCs w:val="20"/>
          <w:color w:val="auto"/>
        </w:rPr>
      </w:pPr>
    </w:p>
    <w:p>
      <w:pPr>
        <w:jc w:val="center"/>
        <w:ind w:left="1380"/>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19685</wp:posOffset>
            </wp:positionV>
            <wp:extent cx="30429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42920" cy="17145"/>
                    </a:xfrm>
                    <a:prstGeom prst="rect">
                      <a:avLst/>
                    </a:prstGeom>
                    <a:noFill/>
                  </pic:spPr>
                </pic:pic>
              </a:graphicData>
            </a:graphic>
          </wp:anchor>
        </w:drawing>
      </w:r>
    </w:p>
    <w:p>
      <w:pPr>
        <w:spacing w:after="0" w:line="16" w:lineRule="exact"/>
        <w:rPr>
          <w:sz w:val="20"/>
          <w:szCs w:val="20"/>
          <w:color w:val="auto"/>
        </w:rPr>
      </w:pPr>
    </w:p>
    <w:p>
      <w:pPr>
        <w:jc w:val="center"/>
        <w:ind w:left="1380"/>
        <w:spacing w:after="0"/>
        <w:rPr>
          <w:sz w:val="20"/>
          <w:szCs w:val="20"/>
          <w:color w:val="auto"/>
        </w:rPr>
      </w:pPr>
      <w:r>
        <w:rPr>
          <w:rFonts w:ascii="Times New Roman" w:cs="Times New Roman" w:eastAsia="Times New Roman" w:hAnsi="Times New Roman"/>
          <w:sz w:val="17"/>
          <w:szCs w:val="17"/>
          <w:b w:val="1"/>
          <w:bCs w:val="1"/>
          <w:color w:val="auto"/>
        </w:rPr>
        <w:t>Fair Value Measurements Using Input Types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19685</wp:posOffset>
            </wp:positionV>
            <wp:extent cx="29489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48940" cy="17145"/>
                    </a:xfrm>
                    <a:prstGeom prst="rect">
                      <a:avLst/>
                    </a:prstGeom>
                    <a:noFill/>
                  </pic:spPr>
                </pic:pic>
              </a:graphicData>
            </a:graphic>
          </wp:anchor>
        </w:drawing>
      </w:r>
    </w:p>
    <w:p>
      <w:pPr>
        <w:spacing w:after="0" w:line="16"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7"/>
          <w:szCs w:val="17"/>
          <w:b w:val="1"/>
          <w:bCs w:val="1"/>
          <w:color w:val="auto"/>
        </w:rPr>
        <w:t>Fair Value Measurements Using Input Types</w:t>
      </w:r>
    </w:p>
    <w:p>
      <w:pPr>
        <w:spacing w:after="0" w:line="43" w:lineRule="exact"/>
        <w:rPr>
          <w:sz w:val="20"/>
          <w:szCs w:val="20"/>
          <w:color w:val="auto"/>
        </w:rPr>
      </w:pPr>
    </w:p>
    <w:p>
      <w:pPr>
        <w:sectPr>
          <w:pgSz w:w="11900" w:h="16838" w:orient="portrait"/>
          <w:cols w:equalWidth="0" w:num="2">
            <w:col w:w="6380" w:space="720"/>
            <w:col w:w="414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44"/>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21"/>
                <w:szCs w:val="21"/>
                <w:color w:val="auto"/>
              </w:rPr>
            </w:pPr>
          </w:p>
        </w:tc>
      </w:tr>
      <w:tr>
        <w:trPr>
          <w:trHeight w:val="216"/>
        </w:trPr>
        <w:tc>
          <w:tcPr>
            <w:tcW w:w="1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shd w:val="clear" w:color="auto" w:fill="CCEEFF"/>
          </w:tcPr>
          <w:p>
            <w:pPr>
              <w:spacing w:after="0"/>
              <w:rPr>
                <w:sz w:val="21"/>
                <w:szCs w:val="21"/>
                <w:color w:val="auto"/>
              </w:rPr>
            </w:pPr>
          </w:p>
        </w:tc>
      </w:tr>
      <w:tr>
        <w:trPr>
          <w:trHeight w:val="210"/>
        </w:trPr>
        <w:tc>
          <w:tcPr>
            <w:tcW w:w="13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6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ind w:left="6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675</w:t>
            </w: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675</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ind w:left="66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ind w:left="66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697</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estimated fair value of the warrant liabilities on September 30, 2026 and December 31, 2025 is determined using Level 3 inputs. Inherent in a Black-Scholes option-pricing model are assumptions used in calculating the estimated fair values that represent the Company’s best estimate. The volatility rate is determined utilizing the Company’s own share price and the share price of competitors over time. However, inherent uncertainties are involved. If factors or assumptions change, the estimated fair values could be materially different.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9" w:name="page20"/>
    <w:bookmarkEnd w:id="19"/>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valuations as of September 30,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32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3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$20.97</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$21.34</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$0.14 - $22,440</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$0.14 - $22,440</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0.33 - 1.41</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1.08 - 2.14</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3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156.7%</w:t>
            </w:r>
          </w:p>
        </w:tc>
        <w:tc>
          <w:tcPr>
            <w:tcW w:w="220" w:type="dxa"/>
            <w:vAlign w:val="bottom"/>
          </w:tcPr>
          <w:p>
            <w:pPr>
              <w:spacing w:after="0"/>
              <w:rPr>
                <w:sz w:val="18"/>
                <w:szCs w:val="18"/>
                <w:color w:val="auto"/>
              </w:rPr>
            </w:pPr>
          </w:p>
        </w:tc>
        <w:tc>
          <w:tcPr>
            <w:tcW w:w="13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 treasury yield</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4.2 - 4.7%</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5"/>
              </w:rPr>
              <w:t>3.5%</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Level 3 warrant liabilities for the nine months ended September 30, 2026 and for the year ended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5780" w:type="dxa"/>
            <w:vAlign w:val="bottom"/>
            <w:tcBorders>
              <w:bottom w:val="single" w:sz="8" w:color="CCEEFF"/>
            </w:tcBorders>
          </w:tcPr>
          <w:p>
            <w:pPr>
              <w:spacing w:after="0"/>
              <w:rPr>
                <w:sz w:val="21"/>
                <w:szCs w:val="21"/>
                <w:color w:val="auto"/>
              </w:rPr>
            </w:pPr>
          </w:p>
        </w:tc>
        <w:tc>
          <w:tcPr>
            <w:tcW w:w="29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beginning of period</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7"/>
        </w:trPr>
        <w:tc>
          <w:tcPr>
            <w:tcW w:w="5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end of period</w:t>
            </w:r>
          </w:p>
        </w:tc>
        <w:tc>
          <w:tcPr>
            <w:tcW w:w="29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vMerge w:val="continue"/>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1"/>
        </w:trPr>
        <w:tc>
          <w:tcPr>
            <w:tcW w:w="57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number of outstanding warrants subject to liability classification was 40,017, of which 15,394 are held by RSLGH, a related party and wholly-owned subsidiary of Green Thumb.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Inventory, Net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principally determined by the weighted-average cost method. Such costs include the acquisition cost for raw materials and operating supplies. The Company’s standard payment terms with suppliers may require making payments in advance of delivery of inventory to the Company.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Inventory consisted of the following related to hemp-derived THC products as of September 30,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49"/>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Packaging materials</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03"/>
        </w:trPr>
        <w:tc>
          <w:tcPr>
            <w:tcW w:w="878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Inventory, gross</w:t>
            </w: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2,329</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4,597</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(946)</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inventory, net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780" w:type="dxa"/>
            <w:vAlign w:val="bottom"/>
            <w:gridSpan w:val="2"/>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20" w:type="dxa"/>
            <w:vAlign w:val="bottom"/>
          </w:tcPr>
          <w:p>
            <w:pPr>
              <w:spacing w:after="0"/>
              <w:rPr>
                <w:sz w:val="20"/>
                <w:szCs w:val="20"/>
                <w:color w:val="auto"/>
              </w:rPr>
            </w:pP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Inventory Reserves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establishes an inventory reserve for obsolete, slow moving, and defective inventory. The Company calculates inventory reserves for obsolete, slow moving, or defective items as the difference between the cost of inventory and its estimated net realizable value. The reserves are based upon management’s expected method of disposition and consideration of other factors that may affect the recoverability of inventory, including anticipated changes to the federal regulatory framework for hemp-derived THC products.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6 — Discontinued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Cultivation Business Discontinued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31, 2024, the Company entered into an Asset Purchase Agreement (the “Purchase Agreement”) with CP, an entity affiliated with Raymond Chang, the Company’s former Chairman and Chief Executive Officer. Under the Purchase Agreement, CP acquired assets from the Company relating to the Company’s vertical farming unit business, including the related “Cultivation Business”. The consideration for the sale included the assumption by CP of certain secured indebtedness and other liabilities related to the Cultivation Business. The disposition resulted in a loss on sale of $11.9 million, which was recorded in net loss from discontinued operations for the year ended December 31, 2024. As of September 30, 2026, the Company has no material remaining assets or liabilities, nor any ongoing involvement related to the Cultivation Business. For the three and nine months ended September 30, 2026, the Company has no material results of operations related to the Cultivation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Extraction Business Discontinued Operations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30, 2025, the Company approved the discontinuation and wind down of its extraction product line, which included hydrocarbon, alcohol, solventless, post-processing, and lab equipment (the “Extraction Business”). The wind down was completed during 2025 and included the cessation of operations, termination of contracts, and disposal of related assets. The Company recognized a gain of approximately $3.5 million in income from discontinued operations for the year ended December 31, 2025. The operating results of the Extraction Business were reported as discontinued operations in the condensed consolidated financial statements for all prior periods presented.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discontinuation of its legacy Extraction Business, the Company continues to carry certain liabilities, including accounts payable and other current liabilities of $565 thousand and $1.5 million, respectively, as of September 30, 2026. These balances represent historical obligations for which there has been limited collection activity. The Company believes the amounts may be owed and therefore has classified them as current liabilities; however, the timing and likelihood of settlement remain uncertain. The Company evaluates these balances periodically and will derecognize when the obligations are extinguished, including upon legal release such as expiration of the applicable statute of limitations.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and nine months ended September 30, 2026, the Company has no material results of operations related to the Extraction Business.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assets associated with Discontinued Operations consisted of operating lease right-of-use assets of $14 thousand. Liabilities associated with Discontinued Operations totaled $2.1 million, consisting of accounts payable of $0.6 million, accrued expenses and other current liabilities of $1.5 million, and current operating lease liabilities of $38 thousand.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income from Discontinued Operations for the three and nine months ended September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20" w:type="dxa"/>
            <w:vAlign w:val="bottom"/>
          </w:tcPr>
          <w:p>
            <w:pPr>
              <w:spacing w:after="0"/>
              <w:rPr>
                <w:sz w:val="18"/>
                <w:szCs w:val="18"/>
                <w:color w:val="auto"/>
              </w:rPr>
            </w:pPr>
          </w:p>
        </w:tc>
        <w:tc>
          <w:tcPr>
            <w:tcW w:w="10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1,835</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 (loss)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right-of-use assets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 from discontinued operations</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disposal of Extraction business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3,534</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from discontinued operations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effect on discontinued operations</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discontinued operations, net of income taxes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condensed consolidated statements of cash flows include continuing operations and discontinued operations. The following table summarizes the depreciation and amortization of long-lived assets and change in provision for credit losses related to Discontinued Operations for the three and nine months ended September 30,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r>
      <w:tr>
        <w:trPr>
          <w:trHeight w:val="216"/>
        </w:trPr>
        <w:tc>
          <w:tcPr>
            <w:tcW w:w="42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42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45"/>
        </w:trPr>
        <w:tc>
          <w:tcPr>
            <w:tcW w:w="4240" w:type="dxa"/>
            <w:vAlign w:val="bottom"/>
            <w:tcBorders>
              <w:bottom w:val="single" w:sz="8" w:color="CCEEFF"/>
            </w:tcBorders>
          </w:tcPr>
          <w:p>
            <w:pPr>
              <w:spacing w:after="0"/>
              <w:rPr>
                <w:sz w:val="21"/>
                <w:szCs w:val="21"/>
                <w:color w:val="auto"/>
              </w:rPr>
            </w:pPr>
          </w:p>
        </w:tc>
        <w:tc>
          <w:tcPr>
            <w:tcW w:w="44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8"/>
                <w:szCs w:val="18"/>
                <w:color w:val="auto"/>
              </w:rPr>
            </w:pP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Change in provision for credit losses, net</w:t>
            </w:r>
          </w:p>
        </w:tc>
        <w:tc>
          <w:tcPr>
            <w:tcW w:w="4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637"/>
        </w:trPr>
        <w:tc>
          <w:tcPr>
            <w:tcW w:w="42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jc w:val="right"/>
              <w:ind w:right="287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7 — Prepaid License Rights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evaluates transactions involving the acquisition of intellectual property and other assets to determine the appropriate accounting treatment based on applicable GAAP, including ASC 805, and ASC Topic 340 – </w:t>
      </w:r>
      <w:r>
        <w:rPr>
          <w:rFonts w:ascii="Times New Roman" w:cs="Times New Roman" w:eastAsia="Times New Roman" w:hAnsi="Times New Roman"/>
          <w:sz w:val="18"/>
          <w:szCs w:val="18"/>
          <w:i w:val="1"/>
          <w:iCs w:val="1"/>
          <w:color w:val="auto"/>
        </w:rPr>
        <w:t>Other Assets and Deferred Costs</w:t>
      </w:r>
      <w:r>
        <w:rPr>
          <w:rFonts w:ascii="Times New Roman" w:cs="Times New Roman" w:eastAsia="Times New Roman" w:hAnsi="Times New Roman"/>
          <w:sz w:val="18"/>
          <w:szCs w:val="18"/>
          <w:color w:val="auto"/>
        </w:rPr>
        <w:t xml:space="preserve"> (“ASC 340”). Certain transactions may not meet the criteria for either a business combination or an asset acquisition and are accounted for under other applicable GAAP.</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Prepaid License Rights relate to arrangements entered into in 2025 with affiliates of Green Thumb, as further described in Note 8 below.</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2026 and December 31, 2025, prepaid license rights were comprised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 2026</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r>
      <w:tr>
        <w:trPr>
          <w:trHeight w:val="194"/>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29"/>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License Rights, related party</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2 - 5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38,956</w:t>
            </w:r>
          </w:p>
        </w:tc>
        <w:tc>
          <w:tcPr>
            <w:tcW w:w="100" w:type="dxa"/>
            <w:vAlign w:val="bottom"/>
            <w:tcBorders>
              <w:top w:val="single" w:sz="8" w:color="CCEEFF"/>
            </w:tcBorders>
            <w:shd w:val="clear" w:color="auto" w:fill="CCEEFF"/>
          </w:tcPr>
          <w:p>
            <w:pPr>
              <w:spacing w:after="0"/>
              <w:rPr>
                <w:sz w:val="18"/>
                <w:szCs w:val="18"/>
                <w:color w:val="auto"/>
              </w:rPr>
            </w:pPr>
          </w:p>
        </w:tc>
      </w:tr>
      <w:tr>
        <w:trPr>
          <w:trHeight w:val="453"/>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94"/>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30"/>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License Rights, related party</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2 - 5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recognized amortization expense of $3.5 million and $10.4 million, respectively, related to Prepaid License Rights.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estimated future amortization expense for the next five years and thereafter is as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9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Future</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 (In thousands)</w:t>
            </w:r>
          </w:p>
        </w:tc>
        <w:tc>
          <w:tcPr>
            <w:tcW w:w="160" w:type="dxa"/>
            <w:vAlign w:val="bottom"/>
          </w:tcPr>
          <w:p>
            <w:pPr>
              <w:spacing w:after="0"/>
              <w:rPr>
                <w:sz w:val="21"/>
                <w:szCs w:val="21"/>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Expense</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2026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13,964</w:t>
            </w: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12,346</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8,784</w:t>
            </w:r>
          </w:p>
        </w:tc>
        <w:tc>
          <w:tcPr>
            <w:tcW w:w="80" w:type="dxa"/>
            <w:vAlign w:val="bottom"/>
          </w:tcPr>
          <w:p>
            <w:pPr>
              <w:spacing w:after="0"/>
              <w:rPr>
                <w:sz w:val="18"/>
                <w:szCs w:val="18"/>
                <w:color w:val="auto"/>
              </w:rPr>
            </w:pPr>
          </w:p>
        </w:tc>
      </w:tr>
      <w:tr>
        <w:trPr>
          <w:trHeight w:val="250"/>
        </w:trPr>
        <w:tc>
          <w:tcPr>
            <w:tcW w:w="9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38,956</w:t>
            </w:r>
          </w:p>
        </w:tc>
        <w:tc>
          <w:tcPr>
            <w:tcW w:w="80" w:type="dxa"/>
            <w:vAlign w:val="bottom"/>
          </w:tcPr>
          <w:p>
            <w:pPr>
              <w:spacing w:after="0"/>
              <w:rPr>
                <w:sz w:val="20"/>
                <w:szCs w:val="20"/>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License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VCP Transaction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27, 2025, the Company entered into a purchase agreement with VCP23, an indirect wholly-owned subsidiary of Green Thumb, a related party, pursuant to which the Company acquired 100% of the equity interests of VCP and obtained access to and use of certain intellectual property rights (the “VCP Transaction”) in exchange for cash consideration of $50.0 million.</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 affiliate of Green Thumb holds a call option to repurchase some or all of the VCP Transaction intellectual property rights for up to five years from the transaction date upon the occurrence of certain specified eligibility conditions, which are outside of the control of both parties and which, at the transaction date, were assessed as more than remote. Due to changes in legislation around hemp-derived products enacted in November 2025, which are currently expected to become effective in December 2026, one of the eligibility conditions that would permit the repurchase right to become exercisable is likely to be satisfied upon effectiveness in December 2026. However, satisfaction of such conditions does not obligate Green Thumb or its affiliates to exercise the repurchase option, which remains within their discretion.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this call option represents a substantive repurchase right, the arrangement includes terms that preclude the transfer of control and therefore does not meet the criteria for a completed sale and is not accounted for as an asset acquisition under ASC 805. Instead, the Company accounts for the arrangement under other applicable U.S. GAAP, including ASC 340. The related Prepaid License Rights are amortized on a straight-line basis over their estimated useful life.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MC Brands Transaction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20, 2025, the Company entered into a purchase agreement with VCP, an indirect wholly-owned subsidiary of Green Thumb, a related party, pursuant to which the Company acquired 100% of the equity interests of VCP and obtained access to and use of certain intellectual property rights associated with the “MC Brands Transaction” in exchange for cash consideration of $5.1 million.</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 affiliate of Green Thumb holds a call option to repurchase some or all of the MC Brands intellectual property rights for up to five years from the transaction date upon the occurrence of certain specified eligibility conditions which are outside of the control of both parties and which, at the transaction date, were assessed as more than remote. Due to changes in legislation around hemp-derived products enacted in November 2025, which are currently expected to become effective in December 2026, one of the eligibility conditions that would permit the repurchase right to become exercisable is likely to be satisfied upon effectiveness in December 2026. However, satisfaction of such conditions does not obligate Green Thumb or its affiliates to exercise the repurchase option, which remains within their discretion.</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Consistent with the VCP Transaction, this arrangement is not accounted for as an asset acquisition under ASC 805 and is instead accounted for as a prepaid executory contract under ASC 340.</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continues to evaluate the impact of regulatory developments related to hemp-derived products on this arrangement. As of September 30, 2026, no impairment or changes in accounting conclusions have been recognized.</w:t>
      </w:r>
    </w:p>
    <w:p>
      <w:pPr>
        <w:sectPr>
          <w:pgSz w:w="11900" w:h="16838" w:orient="portrait"/>
          <w:cols w:equalWidth="0" w:num="1">
            <w:col w:w="11240"/>
          </w:cols>
          <w:pgMar w:left="320" w:top="904"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—Debt</w:t>
      </w:r>
    </w:p>
    <w:p>
      <w:pPr>
        <w:spacing w:after="0" w:line="229" w:lineRule="exact"/>
        <w:rPr>
          <w:sz w:val="20"/>
          <w:szCs w:val="20"/>
          <w:color w:val="auto"/>
        </w:rPr>
      </w:pPr>
    </w:p>
    <w:p>
      <w:pPr>
        <w:jc w:val="right"/>
        <w:ind w:right="5160"/>
        <w:spacing w:after="0"/>
        <w:rPr>
          <w:sz w:val="20"/>
          <w:szCs w:val="20"/>
          <w:color w:val="auto"/>
        </w:rPr>
      </w:pPr>
      <w:r>
        <w:rPr>
          <w:rFonts w:ascii="Times New Roman" w:cs="Times New Roman" w:eastAsia="Times New Roman" w:hAnsi="Times New Roman"/>
          <w:sz w:val="18"/>
          <w:szCs w:val="18"/>
          <w:color w:val="auto"/>
        </w:rPr>
        <w:t>The Company’s debt consisted of:</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42607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260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related party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Less: current portion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party debt, net of current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1"/>
                <w:szCs w:val="21"/>
                <w:color w:val="auto"/>
              </w:rPr>
            </w:pPr>
          </w:p>
        </w:tc>
      </w:tr>
      <w:tr>
        <w:trPr>
          <w:trHeight w:val="45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72,000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72,000</w:t>
            </w:r>
          </w:p>
        </w:tc>
        <w:tc>
          <w:tcPr>
            <w:tcW w:w="60" w:type="dxa"/>
            <w:vAlign w:val="bottom"/>
          </w:tcPr>
          <w:p>
            <w:pPr>
              <w:spacing w:after="0"/>
              <w:rPr>
                <w:sz w:val="24"/>
                <w:szCs w:val="24"/>
                <w:color w:val="auto"/>
              </w:rPr>
            </w:pPr>
          </w:p>
        </w:tc>
      </w:tr>
      <w:tr>
        <w:trPr>
          <w:trHeight w:val="198"/>
        </w:trPr>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72,000</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72,000</w:t>
            </w:r>
          </w:p>
        </w:tc>
        <w:tc>
          <w:tcPr>
            <w:tcW w:w="60" w:type="dxa"/>
            <w:vAlign w:val="bottom"/>
          </w:tcPr>
          <w:p>
            <w:pPr>
              <w:spacing w:after="0"/>
              <w:rPr>
                <w:sz w:val="17"/>
                <w:szCs w:val="17"/>
                <w:color w:val="auto"/>
              </w:rPr>
            </w:pPr>
          </w:p>
        </w:tc>
      </w:tr>
      <w:tr>
        <w:trPr>
          <w:trHeight w:val="248"/>
        </w:trPr>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(72,000)</w:t>
            </w:r>
          </w:p>
        </w:tc>
        <w:tc>
          <w:tcPr>
            <w:tcW w:w="24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(27,000)</w:t>
            </w: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60" w:type="dxa"/>
            <w:vAlign w:val="bottom"/>
          </w:tcPr>
          <w:p>
            <w:pPr>
              <w:spacing w:after="0"/>
              <w:rPr>
                <w:sz w:val="21"/>
                <w:szCs w:val="2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960" w:space="720"/>
            <w:col w:w="256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040" w:type="dxa"/>
            <w:vAlign w:val="bottom"/>
            <w:shd w:val="clear" w:color="auto" w:fill="CCEEFF"/>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4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PPP Loan</w:t>
            </w:r>
          </w:p>
        </w:tc>
        <w:tc>
          <w:tcPr>
            <w:tcW w:w="502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624</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37"/>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 - Current</w:t>
            </w:r>
          </w:p>
        </w:tc>
        <w:tc>
          <w:tcPr>
            <w:tcW w:w="4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short-term debt</w:t>
            </w:r>
          </w:p>
        </w:tc>
        <w:tc>
          <w:tcPr>
            <w:tcW w:w="46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4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w:t>
            </w:r>
          </w:p>
        </w:tc>
        <w:tc>
          <w:tcPr>
            <w:tcW w:w="50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8,000</w:t>
            </w:r>
          </w:p>
        </w:tc>
        <w:tc>
          <w:tcPr>
            <w:tcW w:w="380" w:type="dxa"/>
            <w:vAlign w:val="bottom"/>
          </w:tcPr>
          <w:p>
            <w:pPr>
              <w:spacing w:after="0"/>
              <w:rPr>
                <w:sz w:val="20"/>
                <w:szCs w:val="20"/>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36"/>
        </w:trPr>
        <w:tc>
          <w:tcPr>
            <w:tcW w:w="40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464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Less: current portion</w:t>
            </w:r>
          </w:p>
        </w:tc>
        <w:tc>
          <w:tcPr>
            <w:tcW w:w="46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(8,000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502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bottom w:val="single" w:sz="8" w:color="CCEEFF"/>
            </w:tcBorders>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0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vMerge w:val="continue"/>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type w:val="continuous"/>
        </w:sectPr>
      </w:pPr>
    </w:p>
    <w:bookmarkStart w:id="24" w:name="page25"/>
    <w:bookmarkEnd w:id="24"/>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May 22, 2025, the Company issued secured convertible notes with an aggregate original principal amount of $30.0 million (collectively the “May 2025 Notes”) to RSLGH and to certain other third-party accredited investors. The May 2025 Notes are secured obligations of the Company and rank senior to all indebtedness of the Company except for the August 2025 Notes, which rank on parity with the May 2025 Notes. The May 2025 Notes will mature on November 22, 2026 and accrue interest at a 10.0% annualized rate, with interest to be paid on the first calendar day of each September and March while the May 2025 Notes are outstanding, in pre-funded warrants, beginning September 1, 2025. The principal amount of the May 2025 Notes will be payable on the maturity date. The May 2025 Notes may be converted into Common Stock or, at the election of the holder, into pre-funded warrants, and, as of September 30, 2026, were subject to a beneficial ownership limitation for RSLGH of 49.99% and a beneficial ownership limitation for other holders of 4.99%, in each case subject to applicable Nasdaq listing rules. If a holder elects to convert the May 2025 Notes into Common Stock, the conversion price per share will be $23.53, equal to the most recent closing price of the Common Stock on the Nasdaq Capital Market at the time the May 2025 Notes were issued, subject to customary adjustments for certain corporate events. If a holder elects to convert the May 2025 Notes into pre-funded warrants, and for interest payments payable in the form of pre-funded warrants, the conversion price per pre-funded warrant will be equal to the $23.53 conversion price less the $0.001 exercise price of the warrant. The conversion of the May 2025 Notes into Common Stock and/or pre-funded warrants is subject to certain customary conditions and, to the extent necessary, the receipt of stockholder approval under Nasdaq listing rules.</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August 25, 2025, the Company issued secured convertible notes with an aggregate original principal amount of $50.0 million (collectively the “August 2025 Notes” and, together with the May 2025 Notes, the “Convertible Notes”) to RSLGH and to certain other third-party accredited investors. The August 2025 Notes are secured obligations of the Company and rank senior to all indebtedness of the Company except for the May 2025 Notes, which rank on parity with the August 2025 Notes. The August 2025 Notes will mature on February 25, 2027 and accrue interest at a 10.0% annualized rate, with interest to be paid on the first calendar day of each September and March, while the August 2025 Notes are outstanding beginning March 1, 2026. The principal amount of the August 2025 Notes will be payable on the maturity date. The August 2025 Notes may be converted into Common Stock or, at the election of the holder, into pre-funded warrants, and, as of September 30, 2026, were subject to a beneficial ownership limitation for RSLGH of 49.99% and a beneficial ownership limitation for other holders of 4.99%, in each case subject to applicable Nasdaq listing rules. If a holder elects to convert the August 2025 Notes into Common Stock, the conversion price per share will be $29.475, equal to the Minimum Price as such term is defined under Nasdaq Listing Rule 5635 at the time the August 2025 Notes were issued, subject to customary adjustments for certain corporate events. If a holder elects to convert the August 2025 Notes into pre-funded warrants, and for interest payments elected to be paid in the form of pre-funded warrants, the conversion price per pre-funded warrant will be equal to the $29.475 conversion price less the $0.001 exercise price of the warrant. The conversion of the August 2025 Notes into Common Stock and/or pre-funded warrants is subject to certain customary conditions and, to the extent necessary, the receipt of stockholder approval under Nasdaq listing rules.</w:t>
      </w:r>
    </w:p>
    <w:p>
      <w:pPr>
        <w:spacing w:after="0" w:line="19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10, 2026, at a special meeting of the Company’s stockholders, the Company’s stockholders approved the issuance to RSLGH of shares of Common Stock underlying certain convertible promissory notes and pre-funded warrants, and shares issuable pursuant to shared services agreements, in accordance with Nasdaq Listing Rule 5635. Following the special meeting, the Company entered into an amendment agreement (the “Amendment”) with RSLGH and Vision Management Services, LLC (“VMS”), each a subsidiary of Green Thumb, amending the Convertible Notes, the pre-funded warrants, and the shared services agreements to remove beneficial ownership limitations, including the 49.99% beneficial ownership limitation, on the conversion of the Convertible Notes and the exercise of outstanding and future pre-funded warrants, effective as of October 10, 2026 (the “Amendment Effective Date”).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Convertible Notes impose certain customary affirmative and negative covenants upon the Company, including covenants relating to ranking and reservation of shares. If an event of default under one or more of the Convertible Notes occurs and is not waived, the holder can elect to accelerate all or a portion of the then-outstanding principal amount of the applicable Note, plus accrued and unpaid interest, including default interest, which accrues at a rate per annum equal to 14% from the date of a default or event of default. The Company was in compliance with these covenants as of September 30, 2026.</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determined the Convertible Notes do not contain features that qualify as embedded derivatives in accordance with ASC 815. Borrowings under the Convertible Notes as of September 30, 2026 totaled $80.0 million, of which $72.0 million held by Green Thumb is recorded as Related party debt, current and $8.0 million is recorded within Long-term debt, current on the Company’s condensed consolidated balance sheet.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Related party interest expense incurred on the Convertible Notes was approximately $1.8 million and $1.4 million for the three months ended September 30, 2026 and 2025, respectively. Related party interest expense incurred on the Convertible Notes was approximately $5.4 million and $2.2 million for the nine months ended September 30, 2026 and 2025, respectively.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incurred on the Convertible Notes related to unaffiliated third parties amounted to approximately $201 thousand and $123 thousand for the three months ended September 30, 2026 and 2025, respectively. Interest expense incurred on the Convertible Notes related to unaffiliated third parties amounted to approximately $604 thousand and $156 thousand for the nine months ended September 30, 2026 and 2025, respectively.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2026, future minimum principal payments on all debt positions, excluding accrued interest amounts,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 (In thousands)</w:t>
            </w: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2026</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30,624</w:t>
            </w:r>
          </w:p>
        </w:tc>
      </w:tr>
      <w:tr>
        <w:trPr>
          <w:trHeight w:val="237"/>
        </w:trPr>
        <w:tc>
          <w:tcPr>
            <w:tcW w:w="9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payments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80,624</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Warrant Issuance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21, 2024, in connection with the amendment of previously outstanding notes, the Company issued 492,204 and 525,114 Pre-Funded Warrants to GIC Acquisitions and CP (the “Related Party Pre-Funded Warrants”), respectively, in exchange for notes payable amounting approximately to $2.29 million and $11.5 million, respectively. The Related Party Pre-Funded Warrants can be used to purchase Company’s Common Stock with par value of $0.001 at an exercise price of $0.015. The Related Party Pre-Funded Warrants have been identified as freestanding financial instruments and were determined not to be indexed to the Company’s own stock. Accordingly, the Related Party Pre-Funded Warrants are precluded from being classified within equity and classified as a liability with subsequent changes in fair value recognized each reporting period in earnings. The fair value of the Related Party Pre-Funded Warrants on the issuance date was $5,600,334 determined as the intrinsic value.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30, 2024, the Company executed an amendment to the Related Party Pre-Funded Warrants, pursuant to which the Company revised certain provisions of the Related Party Pre-Funded Warrants to (i) remove the adjustment to the exercise price of the Related Party Pre-Funded Warrants when there is a bona fide equity financing with the primary purpose of raising capital (the “Adjustment Provisions”) and (ii) increase the threshold for a change of control from 50% to greater than 50%. The classification of the Related Party Pre-Funded Warrants was reassessed upon the modification and the Related Party Pre-Funded Warrants were determined to meet all of the additional requirements for equity classification. Accordingly, as of June 30, 2024, the Company remeasured the Related Party Pre-Funded Warrants to its fair value immediately prior to the modification and recognized the change in fair value of approximately $1.2 million in earnings. The Company then reclassified the Pre-Funded Warrant liability to stockholders’ equity at its post-modification fair value of $6.8 million.</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12, 2024, the stockholders of the Company approved a proposal to amend the Related Party Pre-Funded Warrants to add the Adjustment Provisions at a future date. Pursuant to that approval, on August 28, 2024, the Company entered into amendments to the Related Party Pre-Funded Warrants to insert the Adjustment Provisions. This resulted in a reassessment of the Related Party Pre-Funded Warrants such that they no longer met the requirements for equity classification and became classified as liabilities. They were remeasured to their fair value upon modification, resulting in a reduction in value of approximately $3.1 million. The fair value, as of August 28, 2024, of $3,723,383 was reclassified to a warrant liability. As a result of the warrant amendments and the subsequent issuance of 189,645 shares of Common Stock to another party at an effective purchase price of $2.109 per share of Common Stock, the number of shares of Common Stock underlying the Related Party Pre-Funded Warrant held by CP Acquisitions was adjusted to 5,452,288 and the number of shares of Common Stock underlying the Related Party Pre-Funded Warrant held by GIC Acquisitions was adjusted to 1,085,122. On August 30, 2024, CP Acquisitions partially exercised its Pre-Funded Warrant and entities affiliated with Raymond Chang and I-Tseng Jenny Chan received an aggregate of 383,127 shares of Common Stock upon the exercise.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27, 2024, the Company executed an amendment to the Related Party Pre-Funded Warrants to remove the Adjustment Provisions. Accordingly, the Related Party Pre-Funded Warrants met the requirements for equity classification. The amendment also included a provision preventing the holders from any additional exercise of either of the Related Party Pre-Funded Warrants at any time between September 27, 2024 and October 9, 2024. They were remeasured to their fair value upon modification resulting in an increase to the fair value of $18,392,143. The fair value as of September 27, 2024 of $20,770,707 was reclassified to equity.</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282,306 pre-funded warrants were issued in lieu of cash interest payments of $7.6 million, of which 269,552 warrants were issued to RSLGH.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 and Employee Benefit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Omnibus Equity Incentive Plan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29, 2022, the Company’s Board of Directors, and on June 8, 2022, the Company’s stockholders, adopted and approved the 2022 Omnibus Equity Incentive Plan (the “2022 Plan”), which provides for the grant of stock options, stock appreciation right awards, performance share awards, restricted stock awards, restricted stock unit awards, other stock-based awards and cash-based awards. As of September 30, 2026, there were 218,565 shares of Common Stock available to be granted under the Company’s 2022 Plan.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stock compensation expense from continuing operations was $517 thousand and $508 thousand for the three months ended September 30, 2026 and 2025, respectively. The Company’s stock compensation expense from continuing operations was $1.7 million and $1.6 million for the nine months ended September 30, 2026 and 2025, respectively.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stock compensation expense from discontinued operations was $nil and a forfeiture of $nil for the three months ended September 30, 2026 and 2025, respectively. The Company’s stock compensation expense from discontinued operations was $nil and a forfeiture of $20 thousand for the nine months ended September 30, 2026 and 2025, respectively.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there were no options granted, exercised, or expired under the Company’s stock option plans. There were 75 options outstanding with a weighted average exercise price of $27 thousand as of both September 30, 2026 and December 31, 2025. There were no unvested options as of September 30, 2026.</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2026, there was no unrecognized compensation expense related to unvested options.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vested and exercisable at September 30, 2026:</w:t>
      </w:r>
    </w:p>
    <w:p>
      <w:pPr>
        <w:spacing w:after="0" w:line="23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Options Vested and Exercisable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0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100" w:type="dxa"/>
            <w:vAlign w:val="bottom"/>
            <w:tcBorders>
              <w:top w:val="single" w:sz="8" w:color="auto"/>
            </w:tcBorders>
          </w:tcPr>
          <w:p>
            <w:pPr>
              <w:jc w:val="center"/>
              <w:ind w:left="390"/>
              <w:spacing w:after="0" w:line="201" w:lineRule="exact"/>
              <w:rPr>
                <w:sz w:val="20"/>
                <w:szCs w:val="20"/>
                <w:color w:val="auto"/>
              </w:rPr>
            </w:pPr>
            <w:r>
              <w:rPr>
                <w:rFonts w:ascii="Times New Roman" w:cs="Times New Roman" w:eastAsia="Times New Roman" w:hAnsi="Times New Roman"/>
                <w:sz w:val="18"/>
                <w:szCs w:val="18"/>
                <w:b w:val="1"/>
                <w:bCs w:val="1"/>
                <w:color w:val="auto"/>
                <w:w w:val="98"/>
              </w:rPr>
              <w:t>Weighted-Average Remaining</w:t>
            </w:r>
          </w:p>
        </w:tc>
        <w:tc>
          <w:tcPr>
            <w:tcW w:w="4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920" w:type="dxa"/>
            <w:vAlign w:val="bottom"/>
            <w:tcBorders>
              <w:top w:val="single" w:sz="8" w:color="auto"/>
            </w:tcBorders>
          </w:tcPr>
          <w:p>
            <w:pPr>
              <w:jc w:val="center"/>
              <w:ind w:right="490"/>
              <w:spacing w:after="0" w:line="201"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00" w:type="dxa"/>
            <w:vAlign w:val="bottom"/>
          </w:tcPr>
          <w:p>
            <w:pPr>
              <w:spacing w:after="0"/>
              <w:rPr>
                <w:sz w:val="17"/>
                <w:szCs w:val="17"/>
                <w:color w:val="auto"/>
              </w:rPr>
            </w:pPr>
          </w:p>
        </w:tc>
      </w:tr>
      <w:tr>
        <w:trPr>
          <w:trHeight w:val="245"/>
        </w:trPr>
        <w:tc>
          <w:tcPr>
            <w:tcW w:w="30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0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Contractual Life (Years)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16"/>
        </w:trPr>
        <w:tc>
          <w:tcPr>
            <w:tcW w:w="30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Borders>
              <w:top w:val="single" w:sz="8" w:color="CCEEFF"/>
            </w:tcBorders>
            <w:shd w:val="clear" w:color="auto" w:fill="CCEEFF"/>
          </w:tcPr>
          <w:p>
            <w:pPr>
              <w:spacing w:after="0"/>
              <w:rPr>
                <w:sz w:val="18"/>
                <w:szCs w:val="18"/>
                <w:color w:val="auto"/>
              </w:rPr>
            </w:pPr>
          </w:p>
        </w:tc>
        <w:tc>
          <w:tcPr>
            <w:tcW w:w="3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3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w:t>
            </w:r>
          </w:p>
        </w:tc>
        <w:tc>
          <w:tcPr>
            <w:tcW w:w="6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14,208</w:t>
            </w:r>
          </w:p>
        </w:tc>
      </w:tr>
      <w:tr>
        <w:trPr>
          <w:trHeight w:val="216"/>
        </w:trPr>
        <w:tc>
          <w:tcPr>
            <w:tcW w:w="30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3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w:t>
            </w:r>
          </w:p>
        </w:tc>
        <w:tc>
          <w:tcPr>
            <w:tcW w:w="66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4,104</w:t>
            </w:r>
          </w:p>
        </w:tc>
      </w:tr>
      <w:tr>
        <w:trPr>
          <w:trHeight w:val="655"/>
        </w:trPr>
        <w:tc>
          <w:tcPr>
            <w:tcW w:w="30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3"/>
          </w:tcPr>
          <w:p>
            <w:pPr>
              <w:jc w:val="right"/>
              <w:ind w:right="1150"/>
              <w:spacing w:after="0"/>
              <w:rPr>
                <w:sz w:val="20"/>
                <w:szCs w:val="20"/>
                <w:color w:val="auto"/>
              </w:rPr>
            </w:pPr>
            <w:r>
              <w:rPr>
                <w:rFonts w:ascii="Times New Roman" w:cs="Times New Roman" w:eastAsia="Times New Roman" w:hAnsi="Times New Roman"/>
                <w:sz w:val="18"/>
                <w:szCs w:val="18"/>
                <w:color w:val="auto"/>
              </w:rPr>
              <w:t>25</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2022 Plan, the Company may grant restricted stock units to employees, directors and officers. The restricted stock units granted generally vest equally over periods ranging from one to three years, subject to certain exceptions for directors. The fair value of restricted stock units is determined based on the closing market price of the Company’s Common Stock on the date of grant. Compensation expense related to the restricted stock units is recognized using a straight-line attribution method over the vesting period.</w:t>
      </w:r>
    </w:p>
    <w:p>
      <w:pPr>
        <w:sectPr>
          <w:pgSz w:w="11900" w:h="16838" w:orient="portrait"/>
          <w:cols w:equalWidth="0" w:num="1">
            <w:col w:w="11240"/>
          </w:cols>
          <w:pgMar w:left="320" w:top="900" w:right="339" w:bottom="1440" w:gutter="0" w:footer="0" w:header="0"/>
        </w:sectPr>
      </w:pP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presents restricted stock unit activity for the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45"/>
        </w:trPr>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198"/>
        </w:trPr>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126,750</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38.08</w:t>
            </w:r>
          </w:p>
        </w:tc>
        <w:tc>
          <w:tcPr>
            <w:tcW w:w="20" w:type="dxa"/>
            <w:vAlign w:val="bottom"/>
          </w:tcPr>
          <w:p>
            <w:pPr>
              <w:spacing w:after="0"/>
              <w:rPr>
                <w:sz w:val="17"/>
                <w:szCs w:val="17"/>
                <w:color w:val="auto"/>
              </w:rPr>
            </w:pPr>
          </w:p>
        </w:tc>
      </w:t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31,500</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26.98</w:t>
            </w:r>
          </w:p>
        </w:tc>
      </w:tr>
      <w:tr>
        <w:trPr>
          <w:trHeight w:val="216"/>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(31,000)</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28.40</w:t>
            </w:r>
          </w:p>
        </w:tc>
      </w:tr>
      <w:tr>
        <w:trPr>
          <w:trHeight w:val="248"/>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41.18</w:t>
            </w:r>
          </w:p>
        </w:tc>
      </w:tr>
      <w:tr>
        <w:trPr>
          <w:trHeight w:val="27"/>
        </w:trPr>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r>
      <w:tr>
        <w:trPr>
          <w:trHeight w:val="250"/>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124,750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37.62</w:t>
            </w: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900" w:right="339" w:bottom="1440" w:gutter="0" w:footer="0" w:header="0"/>
          <w:type w:val="continuous"/>
        </w:sect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2026, total unrecognized compensation expense related to unvested restricted stock units was $3.2 million, which is expected to be recognized over a weighted average period of 0.99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 Stock Warrants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all warrant activity of the Company for the nine months ended September 30, 2026:</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10,892,112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282,306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September 30, 2026</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11,174,418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 was 0.0% and 0.0% for the three months ended September 30, 2026 and 2025, respectively. The Company’s effective income tax rate was 430.5% and 0.0% for the nine months ended September 30, 2026 and 2025, respectively. The Company recorded no income tax expense or benefit for the three months ended September 30, 2026 and an income tax benefit of $26.8 million for the nine months ended September 30, 2026, compared to nil for the three and nine months ended September 30, 2025.</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Changes in the benefit from income taxes for the nine months ended September 30, 2026 compared to the nine months ended September 30, 2025 are a result of the Company releasing the valuation allowance against its deferred tax assets.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During the period ended March 31, 2026, the Company released $25.6 million of its valuation allowance following the execution of an amendment to its license agreement with GTI Core on March 31, 2026, which transitioned the Company’s licensing fees to a fixed annual structure. This amendment significantly reduced uncertainty around the Company’s future taxable income projections. Based on sustained projected book and taxable income over the near term, management concluded that sufficient positive evidence existed to determine that its deferred tax assets are more-likely-than-not realizable, and accordingly released the valuation allowance during the first quarter of 2026. During the three months ended September 30, 2026, the Company did not record any income tax expense or benefit. The aggregate valuation allowance released was $26.8 million as of September 30, 2026. A valuation allowance continues to be maintained against certain state deferred tax assets for which apportionment factors do not support realization in the foreseeable future; the aggregate amount of such state deferred tax assets is not material. As a result, the income tax benefit recognized for the nine months ended September 30, 2026 is attributable to the release of the valuation allowance. Prior to the initial release, the Company maintained a full valuation allowance against its deferred tax assets due to uncertainty surrounding future income projections.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8" w:name="page29"/>
    <w:bookmarkEnd w:id="28"/>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utilization of the Company’s net operating loss (“NOL”) carryforwards is subject to limitations under Section 382 of the Internal Revenue Code of 1986, as amended and similar provisions in various state jurisdictions due to historical change in ownership provisions (“Ownership Changes”). These limitations may reduce the amount of NOLs available in future periods and may result in the expiration of certain NOLs before they can be utilized. During the period ended September 30, 2025, the Company completed an analysis of Ownership Changes, which had not previously been performed. The analysis identified multiple historical ownership changes that significantly limit the utilization of federal and state NOLs through the date of the most recent change on November 5, 2024, subjecting them to a minimal annual limitation. NOLs generated after November 5, 2024 are not currently subject to this limitation and may be available to offset future taxable income, although any future ownership changes could impose additional limitations.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introducing significant and wide-ranging changes to the U.S. tax system. The bill includes restoration of 100% accelerated tax depreciation on qualifying property including expansion to cover qualified production property. Another key point is the return to immediate expensing of domestic research and experimental expenditures (“R&amp;E”) and accelerated tax deductions of R&amp;E that were previously capitalized. The legislation also reinstates EBITDA-based interest deduction for tax purposes. The impacts of the OBBBA are reflected in the Company’s results for the period ended September 30, 2026, and there was no material impact to the Company’s income tax benefit or effective tax 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Net Income (Loss) Per Share</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holders of the Company’s pre-funded warrants are entitled to receive pro rata distributions if the Company declares or makes any dividend or other distribution of its assets to holders of shares of Common Stock, without regard to any beneficial ownership limitation applicable to the exercise of the pre-funded warrants. As a result, the pre-funded warrants are considered participating securities in accordance with ASC 260, Earnings Per Share. In periods in which the Company reports net income, the Company applies the two-class method to compute basic and diluted earnings per share. Under this method, earnings are allocated to Common Stock and participating securities based on their respective rights to receive dividends, as if all undistributed earnings for the period were distributed. The portion of earnings allocated to participating securities is deducted from net income in determining net income attributable to common stockholders for purposes of computing earnings per share. In periods in which the Company reports a net loss, losses are allocated to participating securities only if the security has a contractual obligation to share in losses. As the pre-funded warrants do not contain a contractual obligation to share in losses, no loss was allocated to the pre-funded warrants for the three and nine months ended September 30, 2025, or the three months ended September 30, 2026. For the nine months ended September 30, 2026, the Company reported net income and allocated earnings to the pre-funded warrants in accordance with the two-class method. On August 10, 2026, the Company obtained stockholder approval for the issuance of shares upon exercise of certain of the pre-funded warrants, satisfying the last substantive condition to their exercise. From that date, the shares underlying those pre-funded warrants are included in basic and diluted weighted-average shares outstanding in accordance with ASC 260 and are no longer subject to the two-class method; the two-class method continues to apply to pre-funded warrants not covered by such approval.</w:t>
      </w:r>
    </w:p>
    <w:p>
      <w:pPr>
        <w:spacing w:after="0" w:line="19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computes diluted earnings per share by considering the impact of all potentially dilutive securities and applying the combination of methods that results in the most dilutive outcome in accordance with ASC 260. The Company evaluates the dilutive effect of each class of potential common shares using the treasury stock method, if-converted method, or the two-class method, as applicable. For instruments subject to the two-class method, the Company applies a hybrid approach under which the two-class earnings allocation is applied to the earnings pool adjusted for if-converted and treasury stock method adjustments applicable to other dilutive instruments. The treasury stock method is applied to stock options, unvested restricted stock units and to the Company’s liability-classified common stock warrants, the if-converted method is applied to convertible notes, and the two-class method is applied to participating pre-funded warrants not included in basic weighted-average shares. For liability-classified warrants included in diluted earnings per share, the numerator is adjusted to remove the change in fair value of the warrants recognized in earnings during the period. The convertible notes are not considered participating securities, as they do not provide the holder with a current right to participate in dividends or undistributed earnings prior to conversion.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340"/>
        <w:spacing w:after="0"/>
        <w:rPr>
          <w:sz w:val="20"/>
          <w:szCs w:val="20"/>
          <w:color w:val="auto"/>
        </w:rPr>
      </w:pPr>
      <w:r>
        <w:rPr>
          <w:rFonts w:ascii="Times New Roman" w:cs="Times New Roman" w:eastAsia="Times New Roman" w:hAnsi="Times New Roman"/>
          <w:sz w:val="18"/>
          <w:szCs w:val="18"/>
          <w:color w:val="auto"/>
        </w:rPr>
        <w:t>The components of basic and diluted net income (loss) per share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(10,633)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20,573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(21,112)</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 income from discontinued operations</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49"/>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Minus: net income (loss) allocated to participating warrants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(14,264)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5980" w:type="dxa"/>
            <w:vAlign w:val="bottom"/>
            <w:tcBorders>
              <w:top w:val="single" w:sz="8" w:color="CCEEFF"/>
            </w:tcBorders>
            <w:gridSpan w:val="2"/>
          </w:tcPr>
          <w:p>
            <w:pPr>
              <w:ind w:left="340"/>
              <w:spacing w:after="0" w:line="171" w:lineRule="exact"/>
              <w:rPr>
                <w:sz w:val="20"/>
                <w:szCs w:val="20"/>
                <w:color w:val="auto"/>
              </w:rPr>
            </w:pPr>
            <w:r>
              <w:rPr>
                <w:rFonts w:ascii="Times New Roman" w:cs="Times New Roman" w:eastAsia="Times New Roman" w:hAnsi="Times New Roman"/>
                <w:sz w:val="18"/>
                <w:szCs w:val="18"/>
                <w:color w:val="auto"/>
              </w:rPr>
              <w:t>Numerator for basic EPS - Net (loss) income available for common</w:t>
            </w: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5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shareholders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(10,665)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6,309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(19,651)</w:t>
            </w:r>
          </w:p>
        </w:tc>
        <w:tc>
          <w:tcPr>
            <w:tcW w:w="0" w:type="dxa"/>
            <w:vAlign w:val="bottom"/>
          </w:tcPr>
          <w:p>
            <w:pPr>
              <w:spacing w:after="0"/>
              <w:rPr>
                <w:sz w:val="1"/>
                <w:szCs w:val="1"/>
                <w:color w:val="auto"/>
              </w:rPr>
            </w:pPr>
          </w:p>
        </w:tc>
      </w:tr>
      <w:tr>
        <w:trPr>
          <w:trHeight w:val="216"/>
        </w:trPr>
        <w:tc>
          <w:tcPr>
            <w:tcW w:w="5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expense on Convertible Notes - from continuing operations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liability-classified warrants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Reallocation of net income to participating warrants</w:t>
            </w: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5980" w:type="dxa"/>
            <w:vAlign w:val="bottom"/>
            <w:tcBorders>
              <w:top w:val="single" w:sz="8" w:color="CCEEFF"/>
            </w:tcBorders>
            <w:gridSpan w:val="2"/>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Numerator for diluted EPS - Net (loss) income available for common</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5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shareholders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(10,665)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10,889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(19,651)</w:t>
            </w:r>
          </w:p>
        </w:tc>
        <w:tc>
          <w:tcPr>
            <w:tcW w:w="0" w:type="dxa"/>
            <w:vAlign w:val="bottom"/>
          </w:tcPr>
          <w:p>
            <w:pPr>
              <w:spacing w:after="0"/>
              <w:rPr>
                <w:sz w:val="1"/>
                <w:szCs w:val="1"/>
                <w:color w:val="auto"/>
              </w:rPr>
            </w:pPr>
          </w:p>
        </w:tc>
      </w:tr>
      <w:tr>
        <w:trPr>
          <w:trHeight w:val="21"/>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Denominator for basic EPS - Weighted-average common shares outstanding</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7,722,524</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2,002,568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4,029,540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1,973,553</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Liability-classified warrants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2,947,143</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5980" w:type="dxa"/>
            <w:vAlign w:val="bottom"/>
            <w:tcBorders>
              <w:top w:val="single" w:sz="8" w:color="CCEEFF"/>
            </w:tcBorders>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Denominator for diluted EPS - adjusted weighted-average common stock</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7,722,524</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2,002,568</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7,008,789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1,973,553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net (loss) income per share attributable to common shareholders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5980" w:type="dxa"/>
            <w:vAlign w:val="bottom"/>
            <w:gridSpan w:val="2"/>
            <w:vMerge w:val="continue"/>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vMerge w:val="continue"/>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20" w:type="dxa"/>
            <w:vAlign w:val="bottom"/>
            <w:vMerge w:val="continue"/>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Diluted net (loss) income per share attributable to common shareholders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Convertible Notes are evaluated for dilutive effect under the if-converted method, under which the after-tax interest expense on the notes is added back to the numerator and the notes are treated as converted at the stated conversion ratio. Pre-funded warrants issuable in settlement of interest accrued on the Convertible Notes during the period are included in the if-converted computation and, accordingly, are not treated as participating securities in the diluted computation. The notes are anti-dilutive when the after-tax interest per share issuable upon conversion exceeds earnings per share before giving effect to the notes. For the three months ended September 30, 2026, the Company reported a net loss; accordingly, all potentially dilutive securities, including the Convertible Notes (representing 2,971,433 gross shares issuable upon conversion), unvested restricted stock units, stock options and liability-classified common stock warrants, were anti-dilutive and excluded from the computation of diluted loss per share, while for the nine months ended September 30, 2026 the Convertible Notes and the liability-classified pre-funded warrants were dilutive and were included in the computation. In addition, the Company excluded the following potential common stock equivalents, presented based on amounts outstanding at each period end, from the computation of diluted earnings (loss) per share attributable to common stockholders for the periods presented because their inclusion would have been anti-dilutive.</w:t>
      </w:r>
    </w:p>
    <w:p>
      <w:pPr>
        <w:spacing w:after="0" w:line="18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80" w:type="dxa"/>
            <w:vAlign w:val="bottom"/>
            <w:tcBorders>
              <w:bottom w:val="single" w:sz="8" w:color="CCEEFF"/>
            </w:tcBorders>
          </w:tcPr>
          <w:p>
            <w:pPr>
              <w:spacing w:after="0"/>
              <w:rPr>
                <w:sz w:val="21"/>
                <w:szCs w:val="21"/>
                <w:color w:val="auto"/>
              </w:rPr>
            </w:pPr>
          </w:p>
        </w:tc>
        <w:tc>
          <w:tcPr>
            <w:tcW w:w="420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warrants</w:t>
            </w:r>
          </w:p>
        </w:tc>
        <w:tc>
          <w:tcPr>
            <w:tcW w:w="4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unvested restricted stock units</w:t>
            </w:r>
          </w:p>
        </w:tc>
        <w:tc>
          <w:tcPr>
            <w:tcW w:w="5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124,750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82,000</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stock options</w:t>
            </w:r>
          </w:p>
        </w:tc>
        <w:tc>
          <w:tcPr>
            <w:tcW w:w="4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4480" w:type="dxa"/>
            <w:vAlign w:val="bottom"/>
            <w:shd w:val="clear" w:color="auto" w:fill="CCEEFF"/>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132,533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7,723,938</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420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4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material legal proceedings or be subject to claims arising in the ordinary course of our business. However, litigation is subject to inherent uncertainties, and an adverse result in these or other matters may arise from time to time that may harm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Bud &amp; Mary’s Litigation</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September 15, 2022, the Company provided a notice of default to Bud &amp; Mary’s Cultivation, Inc. (“Bud &amp; Mary’s) and certain related parties notifying such parties that Bud &amp; Mary’s was in default of its obligations under the TTK solution between the Company and Bud &amp; Mary (the “Bud &amp; Mary TTK Agreement”). On October 5, 2022, Bud &amp; Mary’s filed a complaint in the Superior Court of Massachusetts in Suffolk County, naming the Company as the defendant (the “Bud &amp; Mary Complaint”). Bud &amp; Mary’s is seeking, among other relief, monetary damages in connection with alleged unfair or deceptive trade practices, breach of contract and conversion arising from the Bud &amp; Mary TTK Agreement. While the Company believes the claim is without merit and will continue to vigorously defend itself against Bud &amp; Mary’s allegations, litigation is inherently unpredictable and there can be no assurance that the Company will prevail in this matter. During the third quarter of 2022, the Company deemed it necessary to fully reserve for the outstanding $14.7 million note receivable balance due to the current litigation and the uncertainty of the customer’s ability to repay the balance. As of December 31, 2024, the allowance related to Bud &amp; Mary’s was reduced to $14.4 million, reflecting a recovery of allowance for credit losses resulting from a loan repayment of $330 thousand that was previously included in the allowance. The $14.4 million represents the amount of the contingent loss that the Company has determined to be reasonably possible and estimable. The actual cost of resolving this matter may be higher or lower than the amount the Company has reserved. If the Company is unable to realize revenue from its TTK Solution offerings on a timely basis or at all, or if it incurs an additional loss as a result of the Bud &amp; Mary’s claim, the Company’s business and financial performance will be adversely affected. On November 14, 2022, the Company filed its answers and affirmative defenses to the Bud &amp; Mary Complaint and counterclaims. The Company is seeking, among other relief, monetary damages in connection with the breach of contract, breach of the implied covenant of good faith and fair dealing, unjust enrichment, and enforcement of the guarantees. This matter is still actively ongoing. This matter is subject to the Cultivation Business sale escrow set-off agreement, under which approximately $1.5 million is available to indemnify the Company against losses arising from this and other claims that are the obligation of CP.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Bowdoin Construction Corp. Litigation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22, 2023, Bowdoin Construction Corp. (“Bowdoin”) filed a complaint in the Superior Court of Massachusetts in Norfolk County, Massachusetts (the “Bowdoin Complaint”), naming the Company, Bud &amp; Mary’s and certain related parties as defendants, captioned Bowdoin Construction Corp. v. Agrify Corporation, Bud &amp; Mary’s Cultivation, Inc. and BMLC2, LLC, case no. 2382CV00173. The Bowdoin Complaint relates to a construction contract between Bowdoin and the Company relating to the property that is the subject of the Bud &amp; Mary’s Complaint, and alleges breach of contract by Bud &amp; Mary’s and by the Company due to nonpayment of approximately $7.0 million due under the contract and related indemnification claims and mechanics’ liens. Two of Bowdoin’s subcontractors, Hannon Electric, Inc. and Electric Supply Center Corp, have filed separate suits against the Company in the amount of $1.498 million and $93 thousand, respectively. These amounts are part of the $7.0 million claimed in Bowdoin’s Complaint. The Bowdoin suit and the subcontractor suits have been consolidated. The Company has denied liability in all such suits.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29, 2026, the parties entered into a settlement agreement resolving all claims in the consolidated Bowdoin matter concerning the Company. During the three months ended September 30, 2026, the $1.15 million settlement amount was paid from the escrow litigation reserve. The settlement had no impact on the Company’s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McCutchan, Inc.</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December 2021, the Company entered into a standard form of agreement between owner and contractor whereby Valiant Group LLC (“Valiant”) is the general contractor for tenant improvements on certain real property located in Bellevue, Washington (the “Project”). McCutchan, Inc. (“McCutchan”) agreed to be a subcontractor on the Project and engaged various other subcontractors (the “Valiant Agreement”). The Company terminated Valiant as the general contractor for, among other allegations, breach of contract and unjust enrichment. Following the termination of Valiant, in October 2022, the Valiant Agreement was assigned and accepted (the “Assignment”) to Agxion, LLC, a wholly owned Subsidiary of the Company. The Assignment contemplates that, as a subcontractor to the Valiant Agreement, McCutchan is still bound to the subcontract agreement and will continue construction operations on the Project. The Company is pursuing Valiant in a separate litigation to collect no less than approximately $1.4 million alleging overbilling, breach of the Valiant Agreement, and violation of Chapters 18.27 and 19.86 of the Revised Code of Washington. On March 5, 2024, McCutchan filed a complaint in the Superior Court of Washington for King County naming the Company, Valiant, and certain related parties as defendants. In the complaint, McCutchan asserted the following causes of action against the Company: (1) breach of contract, (2) voidable contract, (3) interference with business or economic expectancy, (4) unjust enrichment, and (5) defamation. McCutchan’s claims are based on allegations of misrepresentations made by the Company to pay McCutchan for work completed on the Project as well as a failure to pay under the Valiant Agreement. In the alternative, McCutchan is alleging the Assignment is void and not a valid contract. McCutchan is seeking to collect no less than $3 million against the Company and all other named defendants. This matter is subject to the Cultivation Business sale escrow set-off agreement, under which approximately $1.5 million is available to indemnify the Company against losses arising from this and other claims that are the obligation of CP.</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Subject to Contingent Repurchase Rights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purchase agreements for the MC Brands Transaction and the VCP Transaction, Green Thumb or its affiliates may repurchase some or all of the MC Brands and/or VCP assets within five years of the respective transaction dates upon the occurrence of specified eligibility conditions, all of which are outside the control of both the Company and Green Thumb. The 2026 Appropriations Act includes an amendment to the definition of hemp under the 2018 Farm Bill that, as subsequently modified by legislation enacted on September 2, 2026, could materially restrict the commercialization of certain hemp-derived THC products after December 11, 2026. If the relevant restrictions become applicable to the Company’s products as currently scheduled and are not repealed, replaced, further delayed or otherwise modified, one of the eligibility conditions under the MC Brands and VCP purchase agreements that could permit the repurchase right to become exercisable would be satisfied. However, the exercise of the repurchase option would remain solely within the discretion of Green Thumb or its affiliates. The full eligibility conditions are set forth in the purchase agreements for the MC Brands Transaction and the VCP Transaction filed on May 22, 2025 and August 27, 2025,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potentially subject to claims related to various non-income taxes (such as sales, value-added, consumption, and similar taxes) from various tax authorities, including in jurisdictions in which the Company already collects and remits such taxes. If the relevant taxing authorities successfully pursue these claims, the Company could be subject to additional tax liabilities.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Note 16 — Related Parties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Some of the current and former officers and directors of the Company are involved in other business activities and may, in the future, become involved in other business opportunities that become available. Benjamin Kovler, the Company’s Chairman and Interim Chief Executive Officer, also serves as Green Thumb’s Chairman and Chief Executive Officer. Brad Asher, the Company’s Chief Financial Officer is a Green Thumb employee and provides services under a shared services agreement. Including Mr. Kovler, two of the Company’s seven directors are affiliated with Green Thumb.</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10, 2026, at a special meeting of the Company’s stockholders, the Company’s stockholders approved the issuance to RSLGH of shares of Common Stock underlying certain convertible promissory notes and pre-funded warrants, and shares issuable pursuant to shared services agreements, in accordance with Nasdaq Listing Rule 5635. Following the special meeting, the Company entered into the Amendment with RSLGH and VMS, each a subsidiary of Green Thumb, amending the Convertible Notes, the pre-funded warrants, and the Amended and Restated Shared Services Agreement to remove beneficial ownership limitations, including the 49.99% beneficial ownership limitation, on the conversion of the Convertible Notes and the exercise of outstanding and future pre-funded warrants, effective as of the Amendment Effective Date.</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Green Thumb, through its subsidiaries, currently holds approximately 32% of the Company’s outstanding shares of Common Stock. Prior to the Amendment Effective Date, Green Thumb’s beneficial ownership was limited to a maximum of 49.99% of the Company’s Common Stock by the beneficial ownership limitations contained in the pre-funded warrants and Convertible Notes held by its subsidiaries. As a result of the removal of those limitations, Green Thumb is deemed to beneficially own approximately 89.9% of the Company’s Common Stock as of August 11, 2026, determined in accordance with Rule 13d-3 under the Securities Exchange Act of 1934, as amended (“Rule 13d-3”), resulting in a change in control of the Company, because its subsidiaries have the right to convert the Convertible Notes and exercise the pre-funded warrants they hold within 60 days. Of the approximately 11.2 million pre-funded warrants outstanding as of September 30, 2026, approximately 10.0 million are held by subsidiaries of Green Thumb. Of the pre-funded warrants held by subsidiaries of Green Thumb, approximately 9.8 million will no longer be subject to any beneficial ownership limitation following the Amendment Effective Date, and approximately 0.2 million will remain subject to a separate beneficial ownership limitation contained in those warrants that were not removed by the Amendment. Of the approximately 3.0 million shares or pre-funded warrants issuable upon conversion (excluding interest) of the Convertible Notes outstanding as of September 30, 2026, approximately 2.7 million are held by subsidiaries of Green Thumb and will no longer be subject to any beneficial ownership limitation following the Amendment Effective Date. In a Form 8-K filed on August 11, 2026 (the “Green Thumb Form 8-K”), Green Thumb disclosed that it does not currently intend to convert the Convertible Notes or exercise the pre-funded warrants. Although Green Thumb is deemed to beneficially own approximately 89.9% of the Company’s Common Stock for purposes of Rule 13d-3, Green Thumb and its affiliates currently hold less than 50% of the voting power for the election of the Company’s directors. Accordingly, the Company is not currently a “controlled company” within the meaning of the Nasdaq listing rules. Following the Amendment Effective Date, Green Thumb may acquire additional voting power through conversion of the Convertible Notes and/or exercise of the pre-funded warrants. If Green Thumb and its affiliates hold more than 50% of the voting power for the election of the Company’s directors, the Company would become a “controlled company” within the meaning of the Nasdaq listing rules. The outstanding pre-funded warrants are entitled to pro rata participation in dividends and other distributions to holders of Common Stock without regard to any limitation on exercise.</w:t>
      </w:r>
    </w:p>
    <w:p>
      <w:pPr>
        <w:spacing w:after="0" w:line="189"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7"/>
          <w:szCs w:val="17"/>
          <w:color w:val="auto"/>
        </w:rPr>
        <w:t>In the Green Thumb Form 8-K, Green Thumb also disclosed that, as a result of the removal of the beneficial ownership limitations, Green Thumb will be required to consolidate the Company in Green Thumb's financial statements beginning October 10, 2026, in accordance with accounting standards applicable to Green Thumb, and that the consolidation will occur automatically upon the effectiveness of the Amendment, without any conversion of the Convertible Notes or exercise of the pre-funded warrants. The Company accounted for the Amendment as a modification of the Convertible Notes and pre-funded warrants, which had no impact on these financial statements, other than the inclusion of the shares underlying the pre-funded warrants covered by the August 10, 2026 stockholder approval in basic and diluted weighted-average shares outstanding from that date, as described in Note 14. Green Thumb's consolidation of the Company will not affect the Company's standalone financial statements, which will continue to be presented on the Company's historical basis of accounting, or the Company's separate reporting obligations as an SEC registrant listed on the Nasdaq Capital Market. Additional details regarding the shared services arrangement, the Convertible Notes, and the intellectual property and licensing agreements are provided in the sections below.</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ind w:left="340"/>
        <w:spacing w:after="0"/>
        <w:rPr>
          <w:sz w:val="20"/>
          <w:szCs w:val="20"/>
          <w:color w:val="auto"/>
        </w:rPr>
      </w:pPr>
      <w:r>
        <w:rPr>
          <w:rFonts w:ascii="Times New Roman" w:cs="Times New Roman" w:eastAsia="Times New Roman" w:hAnsi="Times New Roman"/>
          <w:sz w:val="18"/>
          <w:szCs w:val="18"/>
          <w:color w:val="auto"/>
        </w:rPr>
        <w:t>The following table describes the net activity with entities identified as related parties to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1"/>
                <w:szCs w:val="21"/>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 Thumb Industries Inc.</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10,376</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net activity of $10.4 million during the three months ended September 30, 2026 consists of $3.5 million of support services performed by Green Thumb on behalf of the Company, $1.8 million interest charges for the Convertible Notes, and $1.8 million non-licensing chargeback expense, offset by $17.5 million Licensing Revenue from Green Thumb. The $1.8 million of non-licensing chargeback expense represents a net amount and includes a $120 thousand inventory purchase from Green Thumb.</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net activity of $24.0 million during the nine months ended September 30, 2026 consists of $10.2 million of support services performed by Green Thumb on behalf of the Company, $5.4 million interest charges for the Convertible Notes, and $5.4 million non-licensing chargeback expense, offset by $45.0 million Licensing Revenue from Green Thumb. The $5.4 million of non-licensing chargeback expense represents a net amount and includes a $729 thousand inventory purchase from Green Thumb.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Licensing Revenue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20, 2025, and August 27, 2025, the Company acquired intellectual property rights to the Brand Rights, as part of the related party acquisition of MC Brands and VCP, respectively. In connection with the acquisitions, the Company also licensed the Brand Rights back to a Green Thumb affiliate under license arrangements and recognized related party Licensing Revenue. On March 31, 2026, the Company amended these licensing agreements to replace sales-based royalty consideration with fixed annual fees, effective April 1, 2026. For further discussion on the acquisition and Licensing Revenue, refer to Note 2 and Note 8 included elsewhere in the notes to the unaudited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22, 2025, the Company issued a May 2025 Note with an original principal amount of $27.0 million to RSLGH. On August 25, 2025, the Company issued an August 2025 Note with an original principal amount of $45.0 million to RSLGH. For further discussion on these notes, refer to Note 9 included elsewhere in the notes to the unaudited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Support Services Agreements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May 20, 2025, the Company entered into an Amended and Restated Shared Services Agreement (the “Services Agreement”) with VMS, an indirect wholly-owned subsidiary of Green Thumb, a related party. Under the Services Agreement, VMS provides certain administrative, supply chain, operations management, sales and marketing, and technical services to the Company and its subsidiaries. As consideration for those services, the Company pays VMS service fees equal to (i) 125% of the costs incurred by VMS in connection with any services provided by non-dedicated personnel and (ii) 100% of such costs incurred by VMS in connection with services provided by dedicated personnel and any third-party costs incurred in connection with the services. The service fees are payable in cash or, upon mutual agreement of the Company and VMS and to the extent permitted under applicable Nasdaq listing rules, in Common Stock or in pre-funded warrants, with the value per share of Common Stock or pre-funded warrant being equal to $26.68, the most recent closing price of the Company’s Common Stock on the Nasdaq Capital Market as of the time the Services Agreement was executed. The maximum cost for services provided by non-dedicated personnel during the annual term of the Services Agreement may not exceed $3.0 million unless the parties otherwise agree in writing.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21, 2025, the Company entered into a Shared Services Agreement (the “CFO Services Agreement”) with VMS, pursuant to which Brad Asher provides his services as Chief Financial Officer. As consideration for those services, the Company pays VMS a monthly fee based on its direct costs in providing such services, with a maximum of $72,552 per month. The CFO Services Agreement has a term of one year, is terminable by either party on 90 days’ notice for any or no reason and will automatically renew for successive one-year terms unless terminated by either party at least thirty days prior to the end of the applicable term. As a result of the services provided under the Services Agreement and the CFO Services Agreement, the Company does not have any direct employees other than its Interim Chief Executive Officer.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 Reporting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has determined that it operates as a single operating and reporting segment in accordance with ASC 280, Segment Reporting. This is due to the key decisions and allocation of resources happening in a centralized manner based on the review of the Company’s Chief Operating Decision Maker (“CODM”), Benjamin Kovler, the Company’s Chairman and Interim Chief Executive Officer. The CODM uses operating income (loss) from continuing operations, as presented in the Condensed Consolidated Statements of Operations and compared against budget, to assess performance and allocate resources. The significant segment expenses and other segment items regularly provided to the CODM are also reflected in the Condensed Consolidated Statements of Operations. The disaggregation of sales from hemp-derived THC products (non-licensing) and Licensing Revenue is presented in Note 2 – Revenue. There is no cost of goods sold associated with the Licensing Revenue, and the CODM does not review expense allocations, amortization expense or specific assets when reviewing Licensing Revenue. The CODM is not regularly provided with segment asset information because resources are allocated based on consolidated operating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Subsequent to September 30, 2026, VCP and a Green Thumb affiliate (a related party) amended the August 2025 licensing agreement to add the Company’s Señorita intellectual property and increase the fixed annual fee by $250 thousand. The amendment also provides that, to the extent the Company is legally permitted, consistent with applicable Nasdaq listing standards, to commercialize Señorita outside state-regulated cannabis dispensary channels, the Company will have the exclusive right to do so and the affiliate’s rights will be limited to state-regulated cannabis dispensary channels. All other terms of the licensing agreement remain unchanged.</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unaudited condensed consolidated financial statements were issued.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information contained in this Quarterly Report is intended to update the information contained in our Annual Report on Form 10-K for the year ended December 31, 2025 filed with the Securities and Exchange Commission (the “SEC”) on March 3, 2026 (the “Form 10-K”) and presumes that readers have access to, and will have read, the “Management’s Discussion and Analysis of Financial Condition and Results of Operations” and other information contained in the Form 10-K. The following discussion and analysis also should be read together with our financial statements and the notes to the financial statements included elsewhere in this Quarterly Report.</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contains certain statements that may be deemed “forward-looking statements” within the meaning of the Private Securities Litigation Reform Act of 1995. Such statements appear in a number of places in this Quarterly Report, including, without limitation, “Management’s Discussion and Analysis of Financial Condition and Results of Operations.” These statements are not guarantees of future performance and involve risks, uncertainties and requirements that are difficult to predict or are beyond our control. Forward-looking statements speak only as of the date of this Quarterly Report. You should not put undue reliance on any forward-looking statements. We strongly encourage investors to carefully read the risk factors described in the Form 10-K in the section entitled “Risk Factors” for a description of certain risks that could, among other things, cause actual results to differ from these forward-looking statements. We assume no responsibility to update the forward-looking statements contained in this Quarterly Report. The following should also be read in conjunction with the unaudited financial statements and notes thereto that appear elsewhere in this Quarterly Report.</w:t>
      </w:r>
    </w:p>
    <w:p>
      <w:pPr>
        <w:spacing w:after="0" w:line="185" w:lineRule="exact"/>
        <w:rPr>
          <w:sz w:val="20"/>
          <w:szCs w:val="20"/>
          <w:color w:val="auto"/>
        </w:rPr>
      </w:pPr>
    </w:p>
    <w:p>
      <w:pPr>
        <w:jc w:val="both"/>
        <w:ind w:firstLine="292"/>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stated or the context otherwise requires, references in this report to “RYTHM”, the “Company,” “we,” “us,” “our,” or similar references mean RYTHM, Inc. and its subsidiaries on a consolidated basis.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292"/>
        <w:spacing w:after="0" w:line="253" w:lineRule="auto"/>
        <w:rPr>
          <w:sz w:val="20"/>
          <w:szCs w:val="20"/>
          <w:color w:val="auto"/>
        </w:rPr>
      </w:pPr>
      <w:r>
        <w:rPr>
          <w:rFonts w:ascii="Times New Roman" w:cs="Times New Roman" w:eastAsia="Times New Roman" w:hAnsi="Times New Roman"/>
          <w:sz w:val="18"/>
          <w:szCs w:val="18"/>
          <w:color w:val="auto"/>
        </w:rPr>
        <w:t>RYTHM, Inc. delivers well-being to consumers through its portfolio of hemp-derived THC products and iconic licensed brands. The Company’s portfolio of consumer-packaged goods brands includes RYTHM, incredibles, Dogwalkers, Beboe, &amp;Shine, Doctor Solomon’s, Good Green and Señorita. Our Señorita brand offers consumers hemp-derived tetrahydrocannabinol (“THC”) beverages and are sold at top retailers, online and through direct-to-retail partnerships. The Señorita brand mirrors well-known cocktails like a margarita – in four flavors – classic Lime Jalapeño Margarita, Mango Margarita, Paloma and Ranch Water as well as 1777, a hemp-derived THC spirit. Known for its clean, fresh taste and commitment to high-quality, natural ingredients, Señorita offers a low-sugar, low-calorie alternative to alcoholic beverages and is available in eighteen U.S. states and Canada including at top retailers such as Total Wine, ABC Fine Wine &amp; Spirits, and Binny’s. The RYTHM branded beverage comes in three fruit-driven flavors with effect-based ingredients. Both Señorita and RYTHM hemp-derived beverages are available at Chicago’s iconic United Center, based on a partnership announced in January 2026, establishing RYTHM as the venue’s official THC sponsor. Other hemp-derived products including incredibles and Beboe edible products are primarily sold online and through direct-to-retail partnerships. In addition to the sale of hemp-derived products (“Non-licensing Revenue”), we license our brands to be manufactured and distributed in exchange for a licensing fee (“Licensing Revenue”).</w:t>
      </w:r>
    </w:p>
    <w:p>
      <w:pPr>
        <w:spacing w:after="0" w:line="192" w:lineRule="exact"/>
        <w:rPr>
          <w:sz w:val="20"/>
          <w:szCs w:val="20"/>
          <w:color w:val="auto"/>
        </w:rPr>
      </w:pPr>
    </w:p>
    <w:p>
      <w:pPr>
        <w:jc w:val="both"/>
        <w:ind w:firstLine="292"/>
        <w:spacing w:after="0" w:line="253" w:lineRule="auto"/>
        <w:rPr>
          <w:sz w:val="20"/>
          <w:szCs w:val="20"/>
          <w:color w:val="auto"/>
        </w:rPr>
      </w:pPr>
      <w:r>
        <w:rPr>
          <w:rFonts w:ascii="Times New Roman" w:cs="Times New Roman" w:eastAsia="Times New Roman" w:hAnsi="Times New Roman"/>
          <w:sz w:val="18"/>
          <w:szCs w:val="18"/>
          <w:color w:val="auto"/>
        </w:rPr>
        <w:t xml:space="preserve">The Company was historically a leading provider of innovative cultivation and extraction solutions for the cannabis industry. Prior to the exit of the extraction business on March 30, 2025, the Company’s comprehensive extraction product line (“the Extraction Business”), which included hydrocarbon, alcohol, solventless, post-processing, and lab equipment, empowered cannabis producers to maximize the quantity and quality of extract required for premium concentrates. Additionally, prior to its sale on December 31, 2024, the Company’s proprietary micro-environment-controlled Agrify Vertical Farming Units (“VFUs”) enabled cultivators to produce high quality products for the cannabis industry (the “Cultivation Business”). As the discontinuation of the Extraction Business and the sale of the Cultivation Business represented strategic shifts that had a major effect on our operations and financial results, they have been presented in discontinued operations separate from continuing operations for the three and nine months ended September 30, 2026 and 2025 in our condensed consolidated statements of operations and as of September 30, 2026 and December 31, 2025 in our condensed consolidated balance sheets and applicable footnotes in accordance with Accounting Standards Codification (“ASC”) 205,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Please refer to Item 1 and the notes to the unaudited condensed consolidated financial statements for details on recent developments and significant transactions during the period.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p>
    <w:p>
      <w:pPr>
        <w:spacing w:after="0" w:line="229" w:lineRule="exact"/>
        <w:rPr>
          <w:sz w:val="20"/>
          <w:szCs w:val="20"/>
          <w:color w:val="auto"/>
        </w:rPr>
      </w:pPr>
    </w:p>
    <w:p>
      <w:pPr>
        <w:jc w:val="both"/>
        <w:ind w:firstLine="292"/>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position and results of operations is based on our financial statements, which have been prepared in accordance with accounting principles generally accepted in the United States of America, or GAAP. The preparation of financial statements in conformity with GAAP requires us to make estimates and assumptions that affect the amounts reported in the financial statements and accompanying notes. On an ongoing basis, the Company evaluates estimates, which include estimates related to accruals, stock-based compensation expense, reported amounts of revenues during the reported period, fair value of warrant liabilities, sales tax liabilities, valuation of deferred tax assets, net realizable value of inventory and collectability of trade accounts, intangible assets, other assets (Prepaid License Rights), goodwill, and litigation. We base our estimates on historical experience and other market-specific or other relevant assumptions that we believe to be reasonable under the circumstances. Actual results may differ materially from those estimates or assumptions. Refer to Note 1 included elsewhere in the notes to the unaudited condensed consolidated financial statements, for further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a history of recurring net losses and negative cash flow in operating activities. However, for the nine months ended September 30, 2026, the Company generated positive cash flow from operating activities of $16.0 million, primarily from contractual Licensing Revenue, and reported net income of $20.6 million, primarily as a result of a non-cash income tax benefit of $26.8 million from the release of a valuation allowance. Our unaudited condensed consolidated financial statements have been prepared on a going concern basis, consistent with management’s conclusion described in Note 1. Refer to information provided under the heading “Liquidity and Capital Resources” below for further details.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2026 and 2025</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results of operations for the three and nine months ended September 30,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Revenue</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23,857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4,043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60,163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5,506</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2,668</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12,880</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59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17,370</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10,263</w:t>
            </w:r>
          </w:p>
        </w:tc>
        <w:tc>
          <w:tcPr>
            <w:tcW w:w="2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48,400</w:t>
            </w:r>
          </w:p>
        </w:tc>
        <w:tc>
          <w:tcPr>
            <w:tcW w:w="24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21,534</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17,370</w:t>
            </w: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10,263</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48,400</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21,534</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 from continuing operations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981</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(8,888)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(1,117)</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(19,387)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line="250" w:lineRule="exact"/>
              <w:rPr>
                <w:sz w:val="20"/>
                <w:szCs w:val="20"/>
                <w:color w:val="auto"/>
              </w:rPr>
            </w:pPr>
            <w:r>
              <w:rPr>
                <w:rFonts w:ascii="Times New Roman" w:cs="Times New Roman" w:eastAsia="Times New Roman" w:hAnsi="Times New Roman"/>
                <w:sz w:val="17"/>
                <w:szCs w:val="17"/>
                <w:color w:val="auto"/>
              </w:rPr>
              <w:t>Interest expense, net</w:t>
            </w:r>
            <w:r>
              <w:rPr>
                <w:rFonts w:ascii="Times New Roman" w:cs="Times New Roman" w:eastAsia="Times New Roman" w:hAnsi="Times New Roman"/>
                <w:sz w:val="28"/>
                <w:szCs w:val="28"/>
                <w:color w:val="auto"/>
                <w:vertAlign w:val="superscript"/>
              </w:rPr>
              <w:t>(3)</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(1,663)</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(1,134)</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(5,132)</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in fair value of warrant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expenses,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(533</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(10,633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(6,225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(21,112</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26,798</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income from continuing operations, net of income taxes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(533)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(10,633)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20,573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(21,112)</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(2,073)</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Extraction business</w:t>
            </w: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discontinued operations, net of income taxes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20,573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(19,651</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Net (loss) income per share attributable to Common Stockholders – basic</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income per share attributable to Common Stockholders – diluted</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2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7,722,524</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2,002,568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4,029,540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1,973,553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7,722,524</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2,002,568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7,008,789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1,973,553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$17.8 million and $45.5 million for the three and nine months ended September 30, 2026, and $696 thousand and $961 thousand for the three and nine months ended September 30, 2025, in each case from related parties.</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$5.1 million and $15.4 million for the three and nine months ended September 30, 2026, and $3.1 million and $7.3 million for the three and nine months ended September 30, 2025, in each case from related parties.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 million and $5.4 million of interest expense for the three and nine months ended September 30, 2026, and $1.4 million and $2.2 million for the three and nine months ended September 30, 2025, in each case from a related party.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generate revenue from sales of hemp-derived THC products (non-licensing) and related party Licensing Revenue.</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breakdown of our revenue from continuing operations for the three and nine months ended September 30, 2026 and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6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Non-licensing Revenue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9"/>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16,968</w:t>
            </w: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3189%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44,975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44,195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0" w:type="dxa"/>
            <w:vAlign w:val="bottom"/>
          </w:tcPr>
          <w:p>
            <w:pPr>
              <w:spacing w:after="0"/>
              <w:rPr>
                <w:sz w:val="1"/>
                <w:szCs w:val="1"/>
                <w:color w:val="auto"/>
              </w:rPr>
            </w:pPr>
          </w:p>
        </w:tc>
      </w:tr>
      <w:tr>
        <w:trPr>
          <w:trHeight w:val="27"/>
        </w:trPr>
        <w:tc>
          <w:tcPr>
            <w:tcW w:w="23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50"/>
        </w:trPr>
        <w:tc>
          <w:tcPr>
            <w:tcW w:w="23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23,857</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19,814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6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60,163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53,540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increased by $19.8 million for the three months ended September 30, 2026, as compared to the same period in 2025. The comparative increase in revenue was primarily driven by the commencement of Licensing Revenue arrangements in August 2025 and subsequent amendment to a fixed annual structure, as well as the $2.8 million increase in Non-Licensing Revenue. Of the revenue recognized for the three months ended September 30, 2026, $17.8 million was attributable to related parties, as compared to $696 thousand for the three months ended September 30, 2025.</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increased by $53.5 million for the nine months ended September 30, 2026, as compared to the same period in 2025. The comparative increase in revenue was primarily driven by the commencement of Licensing Revenue arrangements in May and August 2025 and subsequent amendment to a fixed annual structure, as well as the $9.3 million increase in Non-Licensing Revenue. Of the revenue recognized for the nine months ended September 30, 2026, $45.5 million was attributable to related parties, as compared to $961 thousand for the nine months ended September 30, 2025.</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 provide additional context regarding demand trends for our branded THC beverage products, which comprise a portion of Non-licensing Revenue, we monitor “Depletions”, a term commonly used in the beverage industry to describe volume, representing U.S. distributor shipments of the Company’s branded THC beverage products to retail customers, based on third-party data. The Company uses Depletions to monitor downstream demand for its beverage products and believes the metric provides useful information regarding demand trends because Depletions more closely reflect consumer demand than the Company’s shipments to distributors. Depletions may differ significantly from, and are not a substitute for, product revenue recognized in a given period due to the timing of distributor purchases and changes in distributor inventory levels. The Company measures Depletions in 24-can case equivalents. During the three months ended September 30, 2026, Depletions increased approximately 185% compared with the prior-year period, primarily reflecting a low base in the prior-year period.</w:t>
      </w:r>
    </w:p>
    <w:p>
      <w:pPr>
        <w:spacing w:after="0" w:line="19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Additionally, the federal restriction on hemp-derived THC products described above is scheduled to take effect on December 11, 2026, and certain state-level restrictions may apply from November 12, 2026. Unless the legislation is amended or further delayed, we expect Non-Licensing Revenue from our current hemp-derived THC products to decline significantly, and potentially to cease, after those dates.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 of goods sold represents costs associated with Non-licensing Revenue.</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cost of goods sold from continuing operations for the three and nine months ended September 30, 2026 and 2025, all of which relates to Non-Licensing 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4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6"/>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increased by $2.8 million for the three months ended September 30, 2026 compared to the same period in 2025. The comparative increase in cost of goods sold was driven by the increased sales of Non-licensing Revenue.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goods sold increased by $8.4 million for the nine months ended September 30, 2026 compared to the same period in 2025. The increase was primarily driven by increased Non-licensing Revenue during the period, which resulted in higher product costs, freight, fulfillment, and related distribution costs.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4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6"/>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45,136</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2102%</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Gross profit totaled $18.4 million, or 76.9% of total revenue during the three months ended September 30, 2026, compared to a gross profit of $1.4 million, or 34.0% of total revenue during the three months ended September 30, 2025. The comparative $17.0 million increase in gross profit is primarily due to the commencement of second Licensing Revenue arrangement in August 2025, as well as higher Non-licensing Revenue during the period.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Gross profit totaled $47.3 million, or 78.6% of total revenue during the nine months ended September 30, 2026, compared to a gross profit of $2.1 million, or 32.4% of total revenue during the nine months ended September 30, 2025. The comparative $45.1 million increase in gross profit was primarily driven by the commencement of second Licensing Revenue arrangement in August 2025, as well as higher Non-licensing Revenue during the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4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198"/>
        </w:trPr>
        <w:tc>
          <w:tcPr>
            <w:tcW w:w="22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34"/>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7,107</w:t>
            </w:r>
          </w:p>
        </w:tc>
        <w:tc>
          <w:tcPr>
            <w:tcW w:w="1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  $</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48,400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26,866</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(“SG&amp;A”) expenses consist principally of marketing costs and support services performed by Vision Management Services, LLC, a subsidiary of Green Thumb Industries Inc, a related party (“Green Thumb”), pursuant to two shared services agreements, as well as stock-based compensation and travel expenses associated with executive and other administrative functions. Other SG&amp;A expenses include, but are not limited to, professional fees for legal and accounting services and amortization costs.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SG&amp;A expense increased by $7.1 million, or 69%, for the three months ended September 30, 2026, compared to the same period in 2025. The increase was primarily attributable to higher marketing, brand, trade, and promotional expenditures related to the Company’s hemp-derived THC products, as well as increased depreciation and amortization, consulting, outsourced service, and shared service costs.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SG&amp;A expense increased by $26.9 million, or 125%, for the nine months ended September 30, 2026, compared to the same period in 2025. The comparative change is primarily attributable to depreciation and amortization costs and marketing and consulting costs to support the growth of the hemp-derived THC products.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 Net</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40" w:type="dxa"/>
            <w:vAlign w:val="bottom"/>
            <w:gridSpan w:val="5"/>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40" w:type="dxa"/>
            <w:vAlign w:val="bottom"/>
            <w:gridSpan w:val="5"/>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198"/>
        </w:trPr>
        <w:tc>
          <w:tcPr>
            <w:tcW w:w="2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Gain (loss) in fair value of</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60" w:type="dxa"/>
            <w:vAlign w:val="bottom"/>
          </w:tcPr>
          <w:p>
            <w:pPr>
              <w:spacing w:after="0"/>
              <w:rPr>
                <w:sz w:val="20"/>
                <w:szCs w:val="20"/>
                <w:color w:val="auto"/>
              </w:rPr>
            </w:pPr>
          </w:p>
        </w:tc>
        <w:tc>
          <w:tcPr>
            <w:tcW w:w="9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tcPr>
          <w:p>
            <w:pPr>
              <w:spacing w:after="0"/>
              <w:rPr>
                <w:sz w:val="20"/>
                <w:szCs w:val="20"/>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813</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spacing w:after="0"/>
              <w:rPr>
                <w:sz w:val="20"/>
                <w:szCs w:val="20"/>
                <w:color w:val="auto"/>
              </w:rPr>
            </w:pPr>
          </w:p>
        </w:tc>
        <w:tc>
          <w:tcPr>
            <w:tcW w:w="9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20"/>
                <w:szCs w:val="20"/>
                <w:color w:val="auto"/>
              </w:rPr>
            </w:pPr>
          </w:p>
        </w:tc>
        <w:tc>
          <w:tcPr>
            <w:tcW w:w="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20"/>
                <w:szCs w:val="20"/>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394</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other expenses, net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5"/>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37"/>
        </w:trPr>
        <w:tc>
          <w:tcPr>
            <w:tcW w:w="2280" w:type="dxa"/>
            <w:vAlign w:val="bottom"/>
            <w:gridSpan w:val="2"/>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2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20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220" w:type="dxa"/>
            <w:vAlign w:val="bottom"/>
            <w:vMerge w:val="continue"/>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220" w:type="dxa"/>
            <w:vAlign w:val="bottom"/>
            <w:vMerge w:val="continue"/>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net was $1.7 million for the three months ended September 30, 2026, compared to interest expense of $1.1 million for the three months ended September 30, 2025. The change is attributable mainly to the increase of $50.0 million of new borrowings in August 2025 under the Convertible Notes (as that term is defined under “Indebtedness” below). Included in interest expense, net for the three months ended September 30, 2026 is $1.8 million of interest expense incurred with a related party and $338 thousand of interest income.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net was $5.1 million for the nine months ended September 30, 2026, compared to interest expense, net of $1.4 million for the nine months ended September 30, 2025. The change is attributable mainly to the increase of $80.0 million of new borrowings in May and August 2025 under the Convertible Notes (as that term is defined under “Indebtedness” below). Included in interest expense, net for the nine months ended September 30, 2026 is $5.4 million of interest expense incurred with a related party and $871 thousand of interest income.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change in fair value of warrant liabilities resulted in a gain of $149 thousand for the three months ended September 30, 2026, compared to a loss of $664 thousand for the three months ended September 30, 2025. The gain was primarily due to the periodic remeasurement of the warrant liabilities to fair value, reflecting changes in valuation inputs, including the Company’s stock price and other market-based assumptions.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change in fair value of warrant liabilities resulted in a gain of $22 thousand for the nine months ended September 30, 2026, compared to a loss of $372 thousand for the nine months ended September 30, 2025. The gain was primarily attributable to the periodic remeasurement of the Company’s warrant liabilities to fair value, reflecting changes in valuation inputs, including the Company’s stock price and other market-based assumptions.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net was $nil for the three months ended September 30, 2026, compared to $53 thousand for the same period in 2025.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net was $2 thousand for the nine months ended September 30, 2026, compared to $71 thousand for the same period in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Income tax benefit was nil and $26.8 million for the three and nine months ended September 30, 2026, compared to nil for the three and nine months ended September 30, 2025. The increase was attributable to non-cash income tax benefits of $25.6 million and $1.2 million recognized in the first and second quarters of 2026, respectively, resulting from the release of the Company’s valuation allowance against its deferred tax assets. The valuation allowance was released following the execution of an amendment to the Company’s license agreement with GTI Core on March 31, 2026, which transitioned licensing fees to a fixed annual structure and reduced uncertainty in projected future taxable income. No additional income tax expense or benefit was recorded during the three months ended September 30, 2026, and the aggregate valuation allowance released was $26.8 million as of September 30, 2026. Based on this change and sustained projected profitability, management concluded that sufficient positive evidence exists to support the realizability of its deferred tax assets.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“EBITDA” and “Adjusted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believes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 EBITDA is calculated as Income (loss) from continuing operations before: net interest (expense) income, provision for (benefit from) income taxes, and depreciation and amortization. Adjusted EBITDA is calculated as EBITDA from continuing operations before stock-based compensation, change in fair value of warrant liabilities and exceptional items. EBITDA and Adjusted EBITDA exclude the results of discontinued operations.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Income (loss) from continuing operations (GAAP) to non-GAAP Adjusted EBITDA, for the periods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1"/>
                <w:szCs w:val="21"/>
                <w:color w:val="auto"/>
              </w:rPr>
            </w:pPr>
          </w:p>
        </w:tc>
        <w:tc>
          <w:tcPr>
            <w:tcW w:w="2300" w:type="dxa"/>
            <w:vAlign w:val="bottom"/>
            <w:gridSpan w:val="5"/>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6"/>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center"/>
              <w:ind w:left="470"/>
              <w:spacing w:after="0" w:line="202" w:lineRule="exact"/>
              <w:rPr>
                <w:sz w:val="20"/>
                <w:szCs w:val="20"/>
                <w:color w:val="auto"/>
              </w:rPr>
            </w:pPr>
            <w:r>
              <w:rPr>
                <w:rFonts w:ascii="Times New Roman" w:cs="Times New Roman" w:eastAsia="Times New Roman" w:hAnsi="Times New Roman"/>
                <w:sz w:val="18"/>
                <w:szCs w:val="18"/>
                <w:i w:val="1"/>
                <w:iCs w:val="1"/>
                <w:color w:val="auto"/>
                <w:w w:val="99"/>
              </w:rPr>
              <w:t>(unaudited)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center"/>
              <w:ind w:left="450"/>
              <w:spacing w:after="0" w:line="202" w:lineRule="exact"/>
              <w:rPr>
                <w:sz w:val="20"/>
                <w:szCs w:val="20"/>
                <w:color w:val="auto"/>
              </w:rPr>
            </w:pPr>
            <w:r>
              <w:rPr>
                <w:rFonts w:ascii="Times New Roman" w:cs="Times New Roman" w:eastAsia="Times New Roman" w:hAnsi="Times New Roman"/>
                <w:sz w:val="18"/>
                <w:szCs w:val="18"/>
                <w:i w:val="1"/>
                <w:iCs w:val="1"/>
                <w:color w:val="auto"/>
                <w:w w:val="99"/>
              </w:rPr>
              <w:t>(unaudited)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income from continuing operations, net of income taxes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(533)</w:t>
            </w:r>
          </w:p>
        </w:tc>
        <w:tc>
          <w:tcPr>
            <w:tcW w:w="340" w:type="dxa"/>
            <w:vAlign w:val="bottom"/>
            <w:tcBorders>
              <w:top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(10,633)</w:t>
            </w:r>
          </w:p>
        </w:tc>
        <w:tc>
          <w:tcPr>
            <w:tcW w:w="24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20,573</w:t>
            </w:r>
          </w:p>
        </w:tc>
        <w:tc>
          <w:tcPr>
            <w:tcW w:w="34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(21,112)</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1,663</w:t>
            </w:r>
          </w:p>
        </w:tc>
        <w:tc>
          <w:tcPr>
            <w:tcW w:w="34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1,134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5,132</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(26,798)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3,520</w:t>
            </w:r>
          </w:p>
        </w:tc>
        <w:tc>
          <w:tcPr>
            <w:tcW w:w="340" w:type="dxa"/>
            <w:vAlign w:val="bottom"/>
          </w:tcPr>
          <w:p>
            <w:pPr>
              <w:spacing w:after="0"/>
              <w:rPr>
                <w:sz w:val="20"/>
                <w:szCs w:val="20"/>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1,795</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10,444</w:t>
            </w:r>
          </w:p>
        </w:tc>
        <w:tc>
          <w:tcPr>
            <w:tcW w:w="340" w:type="dxa"/>
            <w:vAlign w:val="bottom"/>
          </w:tcPr>
          <w:p>
            <w:pPr>
              <w:spacing w:after="0"/>
              <w:rPr>
                <w:sz w:val="20"/>
                <w:szCs w:val="20"/>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2,530</w:t>
            </w:r>
          </w:p>
        </w:tc>
        <w:tc>
          <w:tcPr>
            <w:tcW w:w="0" w:type="dxa"/>
            <w:vAlign w:val="bottom"/>
          </w:tcPr>
          <w:p>
            <w:pPr>
              <w:spacing w:after="0"/>
              <w:rPr>
                <w:sz w:val="1"/>
                <w:szCs w:val="1"/>
                <w:color w:val="auto"/>
              </w:rPr>
            </w:pPr>
          </w:p>
        </w:tc>
      </w:tr>
      <w:tr>
        <w:trPr>
          <w:trHeight w:val="184"/>
        </w:trPr>
        <w:tc>
          <w:tcPr>
            <w:tcW w:w="5980" w:type="dxa"/>
            <w:vAlign w:val="bottom"/>
            <w:tcBorders>
              <w:top w:val="single" w:sz="8" w:color="CCEEFF"/>
            </w:tcBorders>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Earnings before interest, taxes, depreciation and amortization (EBITDA) (non-</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measure)</w:t>
            </w: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4,650</w:t>
            </w:r>
          </w:p>
        </w:tc>
        <w:tc>
          <w:tcPr>
            <w:tcW w:w="3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(7,704)</w:t>
            </w: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9,351</w:t>
            </w:r>
          </w:p>
        </w:tc>
        <w:tc>
          <w:tcPr>
            <w:tcW w:w="3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(17,158)</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517</w:t>
            </w:r>
          </w:p>
        </w:tc>
        <w:tc>
          <w:tcPr>
            <w:tcW w:w="26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508</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1,665</w:t>
            </w: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70"/>
        </w:trPr>
        <w:tc>
          <w:tcPr>
            <w:tcW w:w="598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Exceptional items</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3"/>
                <w:szCs w:val="23"/>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920</w:t>
            </w:r>
          </w:p>
        </w:tc>
        <w:tc>
          <w:tcPr>
            <w:tcW w:w="340" w:type="dxa"/>
            <w:vAlign w:val="bottom"/>
          </w:tcPr>
          <w:p>
            <w:pPr>
              <w:spacing w:after="0"/>
              <w:rPr>
                <w:sz w:val="23"/>
                <w:szCs w:val="23"/>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1,280</w:t>
            </w:r>
          </w:p>
        </w:tc>
        <w:tc>
          <w:tcPr>
            <w:tcW w:w="340" w:type="dxa"/>
            <w:vAlign w:val="bottom"/>
          </w:tcPr>
          <w:p>
            <w:pPr>
              <w:spacing w:after="0"/>
              <w:rPr>
                <w:sz w:val="23"/>
                <w:szCs w:val="23"/>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7"/>
        </w:trPr>
        <w:tc>
          <w:tcPr>
            <w:tcW w:w="59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(non-GAAP measure)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59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5,938</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2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12,274</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Exceptional items correspond to costs incurred outside the ordinary course of business, including transition, restructuring, or other dislocation costs arising from or related to resizing initiatives, distributor termination fees, and other similar items.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September 30, 2026, our principal sources of liquidity are cash and cash equivalents totaling $48.2 million. Our current working capital needs are supporting ongoing operations, managing inventory to meet demand forecasts, and addressing the maturity of our Convertible Notes, as discussed below. Our longer-term financial needs primarily relate to funding ongoing operations and strategic initiatives.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required to evaluate whether there are conditions or events, considered in aggregate, that raise substantial doubt about our ability to continue as a going concern within one year after the date that the financial statements are issued. Substantial doubt exists when conditions and events, considered in aggregate, indicate that it is probable that a company will be unable to meet its obligations as they become due within one year after the date that the condensed consolidated financial statements are issued.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 history of recurring net losses and negative cash flow in operating activities. However, for the nine months ended September 30, 2026, the Company generated positive cash flow from operating activities and reported net income which was mainly impacted by a non-cash income tax benefit. We believe our $48.2 million of cash and cash equivalents, anticipated contractual Licensing Revenue and ability to address our Convertible Notes will be sufficient to meet our cash requirements through at least the 12-month period following the date that these condensed consolidated financial statements were issued.</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Convertible Notes maturities of $80.0 million exist through February 2027, of which $72.0 million is held by a subsidiary of Green Thumb, a related party. Of this amount, $30.0 million matures on November 22, 2026, including $27.0 million held by the Green Thumb subsidiary. The Company’s cash and cash equivalents of $48.2 million are sufficient to satisfy the $30.0 million near-term maturity, and the Company is in active discussions with Green Thumb regarding an extension of the $27.0 million portion. Beyond the near-term maturity addressed above, if the holders of the Convertible Notes elect to be paid in cash upon maturity, it could raise substantial doubt about the Company’s ability to continue as a going concern. However, while these remaining obligations require management attention, management believes it is probable that they will be addressed through extension or conversion consistent with historical practice. Accordingly, the financial statements have been prepared on a going concern basis.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anticipated Licensing Revenue depends on our continued ownership of the MC Brands and VCP brand rights, which are subject to Green Thumb’s repurchase options described in Note 8 and Note 15 to our unaudited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May 22, 2025, we issued secured convertible notes with an aggregate original principal amount of $30.0 million (collectively the “May 2025 Notes”) to RSLGH, LLC (“RSLGH”) and to certain other third-party accredited investors. The May 2025 Notes are secured obligations and rank senior to all of our indebtedness except for the August 2025 Notes, which rank on parity with the May 2025 Notes. The May 2025 Notes will mature on November 22, 2026 and accrue interest at a 10.0% annualized rate, with interest to be paid on the first calendar day of each September and March while the May 2025 Notes are outstanding, in pre-funded warrants, beginning September 1, 2025. The principal amount of the May 2025 Notes will be payable on the maturity date. The May 2025 Notes may be converted into Common Stock or, at the election of the holder, into pre-funded warrants, and, as of September 30, 2026, were subject to a beneficial ownership limitation for RSLGH of 49.99% and a beneficial ownership limitation for other holders of 4.99%, in each case subject to applicable Nasdaq listing rules. If a holder elects to convert the May 2025 Notes into Common Stock, the conversion price per share will be $23.53, equal to the most recent closing price of the Common Stock on the Nasdaq Capital Market at the time the May 2025 Notes were issued, subject to customary adjustments for certain corporate events. If a holder elects to convert the May 2025 Notes into pre-funded warrants, and for interest payments payable in the form of pre-funded warrants, the conversion price per pre-funded warrant will be equal to the $23.53 conversion price less the $0.001 exercise price of the warrant. The conversion of the May 2025 Notes into Common Stock and/or pre-funded warrants is subject to certain customary conditions and, to the extent necessary, the receipt of stockholder approval under Nasdaq listing rules.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25, 2025, we issued secured convertible notes with an aggregate original principal amount of $50.0 million (collectively the “August 2025 Notes” and, together with the May 2025 Notes, the “Convertible Notes”) to RSLGH and to certain other third-party accredited investors. The August 2025 Notes are secured obligations and rank senior to all of our indebtedness except for the May 2025 Notes, which rank on parity with the August 2025 Notes. The August 2025 Notes will mature on February 25, 2027 and accrue interest at a 10.0% annualized rate, with interest to be paid on the first calendar day of each September and March, while the August 2025 Notes are outstanding beginning March 1, 2026. The principal amount of the August 2025 Notes will be payable on the maturity date. The August 2025 Notes may be converted into Common Stock or, at the election of the holder, into pre-funded warrants, and, as of September 30, 2026, were subject to a beneficial ownership limitation for RSLGH of 49.99% and a beneficial ownership limitation for other holders of 4.99%, in each case subject to applicable Nasdaq listing rules. If a holder elects to convert the August 2025 Notes into Common Stock, the conversion price per share will be $29.475, equal to the Minimum Price as such term is defined under Nasdaq Listing Rule 5635 at the time the August 2025 Notes were issued, subject to customary adjustments for certain corporate events. If a holder elects to convert the August 2025 Notes into pre-funded warrants, and for interest payments elected to be paid in the form of pre-funded warrants, the conversion price per pre-funded warrant will be equal to the $29.475 conversion price less the $0.001 exercise price of the warrant. The conversion of the August 2025 Notes into Common Stock and/or pre-funded warrants is subject to certain customary conditions and, to the extent necessary, the receipt of stockholder approval under Nasdaq listing rules.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10, 2026, at a special meeting of the Company’s stockholders, the Company’s stockholders approved the issuance to RSLGH and other holders of shares of Common Stock underlying certain convertible promissory notes and pre-funded warrants, and shares issuable pursuant to shared services agreements, in accordance with Nasdaq Listing Rule 5635. Following the special meeting, the Company entered into an amendment agreement (the “Amendment”) with RSLGH and VMS, each a subsidiary of Green Thumb, amending the Convertible Notes, the pre-funded warrants, and the Amended and Restated Shared Services Agreement to remove beneficial ownership limitations, including the 49.99% beneficial ownership limitation, on the conversion of the Convertible Notes and the exercise of outstanding and future pre-funded warrants, effective as of October 10, 2026.</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Convertible Notes impose certain customary affirmative and negative covenants upon us, including covenants relating to ranking and reservation of shares. If an event of default under one or more of the Convertible Notes occurs and is not waived, the holder can elect to accelerate all or a portion of the then-outstanding principal amount of the applicable Note, plus accrued and unpaid interest, including default interest, which accrues at a rate per annum equal to 14% from the date of a default or event of default. We were in compliance with these covenants as of September 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Statement of Cash Flows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major components of net cash flows from and used in operating, investing, and financing activities for the nine months ended September 30, 2026 and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(20,519)</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(55,075)</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79,997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16,026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discussion explains the major components contributing to the net cash flows from operating, investing, and financing activities for the nine months ended September 30, 2026 and 2025, as summarized in the table above. Each section below provides details on the key drivers of the cash inflows and outflows for the respective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our operating cash flows included a net income of $20.6 million, which included $10.4 million related to depreciation and amortization, $26.8 million non-cash deferred income tax benefit, $2.3 million of non-cash interest expense, $1.7 million of stock-based compensation expense. Net cash was also increased by changes in operating assets and liabilities of $7.5 million.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our operating cash flows included a net loss of $19.7 million, which included $3.5 million gain on disposal of the Extraction business, $2.5 million related to depreciation and amortization, $1.9 million of non-cash interest expense, $1.6 million of stock-based compensation expense, $372 thousand loss related to the change in fair value of warrant liabilities. Net cash was also decreased by changes in operating assets and liabilities of $4.5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Investing Activities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nine months ended September 30, 2026, there were no cash flows from investing activities.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net cash used in investing activities was $55 million, which primarily resulted from the related party acquisition of VCP and MC Brands, LLC and its wholly-owned subsidiary Core Growth LLC (together referred to as “MC Brands”).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Financing Activities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nine months ended September 30, 2026, there were no cash flows from financing activities.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net cash provided by financing activities was $80.0 million, which resulted from proceeds from May and August 2025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Part I, Item 2, “Management’s Discussion and Analysis of Financial Condition and Results of Operations” discusses our unaudited condensed consolidated financial statements, which have been prepared in accordance with GAAP. The preparation of these unaudited condensed consolidated financial statements requires management to make estimates and assumptions that affect the reported amounts of assets and liabilities and the disclosure of contingent assets and liabilities at the date of the unaudited condensed consolidated financial statements and the reported amounts of revenues and expenses during the reporting period. Actual results may differ from these estimates under different assumptions or conditions.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estimates are based on our knowledge and understanding of current conditions and actions that we may take in the future. Changes in these estimates will occur as a result of the passage of time and the occurrence of future events. Subsequent changes in these estimates may have a significant impact on our financial condition and results of operations and are recorded in the period in which they become known. We have identified the following estimates that, in our opinion, are subjective in nature, require the exercise of judgment and involve complex analysis: the fair value of derivative assets and liabilities, net realizable value of inventory, goodwill impairment assessment, intangible assets and revenue recognition.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significant accounting policies and estimates that have been adopted and followed in the preparation of our condensed consolidated financial statements are detailed in Note 2 Significant Accounting Policies included in the Form 10-K and Note 1 - Overview, Basis of Presentation and Significant Accounting Policies to our unaudited condensed consolidated financial statements in Part I, Item 1 of this Quarterly Report. There have been no material changes to our critical accounting policies and estimates from those disclosed in the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Adopted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on recently issued accounting pronouncements, see Note 1—Overview, Basis of Presentation and Significant Accounting Policies, included elsewhere in the notes to the unaudited condensed consolidated financial statements under Part I, Item 1 of this Quarterly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Not Yet Adopted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on recently issued accounting pronouncements, see Note 1—Overview, Basis of Presentation and Significant Accounting Policies, included elsewhere in the notes to the unaudited condensed consolidated financial statements under Part I, Item 1 of this Quarterly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“smaller reporting company” as defined by 17 C.F.R. § 229.10, the Company is not required to provide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required by paragraph (b) of Rules 13a-15 and 15d-15 under the Exchange Act, Management, with the participation of our Interim Chief Executive Officer and Chief Financial Officer, evaluated the effectiveness of the design and operation of our disclosure controls and procedures as of September 30,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Interim Chief Executive Officer and Chief Financial Officer concluded that our disclosure controls and procedures were effective at the reasonable assurance level as of September 30,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Rules 13a-15(f) and 15d-15(f) under the Exchange Act) during the quarter ended September 30, 2026 that have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various legal proceedings or claims arising in the ordinary course of business. For information related to legal proceedings, see the discussion under the caption Legal Proceedings in Note 15 - Commitments and Contingencies to our unaudited condensed consolidated financial statements included in Part I, Item 1 of this Quarterly Report, which information is incorporated by reference into this Part II, Item 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set forth below, there are no material changes to our risk factors as previously disclosed in Part I, Item 1A of the Form 10-K. The risks described in this Quarterly Report and in the Form 10-K, among others, could materially and adversely affect our business, reputation, financial condition, results of operations, and stock price.</w:t>
      </w:r>
    </w:p>
    <w:p>
      <w:pPr>
        <w:spacing w:after="0" w:line="17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not currently a “controlled company” under Nasdaq rules, but if Green Thumb and its affiliates acquire more than 50% of our voting power, we would be deemed a “controlled company” and could rely on exemptions from certain corporate governance requirements, which could reduce protections available to our other stockholders and result in the loss of our smaller reporting company status.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2026, RSLGH, a subsidiary of Green Thumb, held approximately 32% of our outstanding Common Stock and, accordingly, we are not currently a “controlled company” within the meaning of the Nasdaq listing rules. However, as a result of the Amendment, which removed beneficial ownership limitations on the conversion of the Convertible Notes and the exercise of the pre-funded warrants held by RSLGH, Green Thumb and its affiliates beneficially own approximately 89.9% of our Common Stock and may, at any time and in their sole discretion, convert the Convertible Notes or exercise the pre-funded warrants and thereby acquire more than 50% of our outstanding voting power.</w:t>
      </w:r>
    </w:p>
    <w:p>
      <w:pPr>
        <w:spacing w:after="0" w:line="183"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If Green Thumb and its affiliates acquire more than 50% of our voting power, we would be deemed a “controlled company” under Nasdaq Listing Rule 5615(c). As a controlled company, we would be permitted to elect not to comply with certain Nasdaq corporate governance requirements that currently apply to us, including the requirements that (i) a majority of our board of directors consist of independent directors, (ii) director nominees be selected, or recommended for selection, by a majority of the independent directors or a nominating committee composed solely of independent directors, and (iii) executive compensation be determined, or recommended for determination, by a compensation committee composed solely of independent directors. If we were to become a controlled company and elect to rely on some or all of these exemptions, our stockholders would not have the same protections afforded to stockholders of companies that are subject to all of the Nasdaq corporate governance requirements. Even if we do not rely on these exemptions, Green Thumb would be able to control the election of our directors and the outcome of substantially all matters submitted to a vote of our stockholders.</w:t>
      </w:r>
    </w:p>
    <w:p>
      <w:pPr>
        <w:spacing w:after="0" w:line="1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if Green Thumb and its affiliates acquire more than 50% of our outstanding voting securities, we would become a majority-owned subsidiary of Green Thumb and, because Green Thumb does not currently qualify as a smaller reporting company, we would no longer qualify as a smaller reporting company as of our next applicable determination date under applicable SEC rules. The loss of smaller reporting company status would subject us to expanded disclosure and other reporting requirements and could increase our legal, accounting and other compliance costs and the demands on management.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September 1, 2026, we issued to RSLGH, a related party, pre-funded warrants to purchase up to an aggregate of 133,716 shares of Common Stock, consisting of pre-funded warrants to purchase up to 57,377 shares in payment of approximately $1.35 million of accrued interest under the May 2025 Note held by RSLGH and pre-funded warrants to purchase up to 76,339 shares in payment of approximately $2.25 million of accrued interest under the August 2025 Note held by RSLGH. The number of shares underlying each pre-funded warrant was determined by dividing the accrued and unpaid interest by the applicable warrant conversion price of $23.529 (for the May 2025 Note) or $29.474 (for the August 2025 Note). The pre-funded warrants have an exercise price of $0.001 per share and are exercisable at any time until exercised in full. The pre-funded warrants were issued in reliance on Section 4(a)(2) of the Securities Act and Rule 506(b) of Regulation D, and each holder is an accredited investor.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officers or directors, as defined in Rule 16a-1(f), adopted, modified or terminated a Rule 10b5-1 trading arrangement or a non-Rule 10b5-1 trading arrangement as defined in Item 408 of Regulation S-K, during the three months ended September 30,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Amendment to Secured Convertible Notes, Pre-Funded Common Stock Purchase Warrants, and Amended and Restated Shared Services</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Agreement effective October 10, 2026, among RYTHM, Inc., RSLGH, LLC and Vision Management Services, LLC (incorporated by</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reference to Exhibit 10.1 to the Company’s Current Report on Form 8-K filed with the Securities and Exchange Commission on August 11,</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2026).</w:t>
              </w:r>
            </w:hyperlink>
          </w:p>
        </w:tc>
        <w:tc>
          <w:tcPr>
            <w:tcW w:w="7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8"/>
          </w:tcPr>
          <w:p>
            <w:pPr>
              <w:spacing w:after="0" w:line="17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Amendment No. 2 to Trademark and Recipe License Agreement, dated October 13, 2026, by and between VCP IP Holdings, LLC and GTI</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8"/>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Core, LLC (incorporated by reference to Exhibit 10.1 to the Company’s Current Report on Form 8-K filed with the Securities and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Exchange Commission on October 16, 2026).</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84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bottom w:val="single" w:sz="8" w:color="CCEEFF"/>
            </w:tcBorders>
            <w:shd w:val="clear" w:color="auto" w:fill="CCEEFF"/>
          </w:tcPr>
          <w:p>
            <w:pPr>
              <w:spacing w:after="0"/>
              <w:rPr>
                <w:sz w:val="17"/>
                <w:szCs w:val="17"/>
                <w:color w:val="auto"/>
              </w:rPr>
            </w:pPr>
          </w:p>
        </w:tc>
        <w:tc>
          <w:tcPr>
            <w:tcW w:w="49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Rule 13a-14(a)/15d-14(a) Certification of principal executive officer</w:t>
            </w:r>
          </w:p>
        </w:tc>
        <w:tc>
          <w:tcPr>
            <w:tcW w:w="5160" w:type="dxa"/>
            <w:vAlign w:val="bottom"/>
            <w:tcBorders>
              <w:bottom w:val="single" w:sz="8" w:color="CCEEFF"/>
            </w:tcBorders>
            <w:gridSpan w:val="4"/>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5"/>
                <w:szCs w:val="15"/>
                <w:color w:val="auto"/>
              </w:rPr>
            </w:pPr>
          </w:p>
        </w:tc>
        <w:tc>
          <w:tcPr>
            <w:tcW w:w="101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Rule 13a-14(a)/15d-14(a) Certification of principal financial and accounting officer</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8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17"/>
                <w:szCs w:val="17"/>
                <w:color w:val="auto"/>
              </w:rPr>
            </w:pPr>
          </w:p>
        </w:tc>
        <w:tc>
          <w:tcPr>
            <w:tcW w:w="40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Section 1350 Certification of principal executive officer</w:t>
            </w:r>
          </w:p>
        </w:tc>
        <w:tc>
          <w:tcPr>
            <w:tcW w:w="6060" w:type="dxa"/>
            <w:vAlign w:val="bottom"/>
            <w:tcBorders>
              <w:bottom w:val="single" w:sz="8" w:color="CCEEFF"/>
            </w:tcBorders>
            <w:gridSpan w:val="5"/>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5"/>
                <w:szCs w:val="15"/>
                <w:color w:val="auto"/>
              </w:rPr>
            </w:pPr>
          </w:p>
        </w:tc>
        <w:tc>
          <w:tcPr>
            <w:tcW w:w="101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Section 1350 Certification of principal financial and accounting officer</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8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3520" w:firstLine="8"/>
        <w:spacing w:after="0" w:line="489" w:lineRule="auto"/>
        <w:tabs>
          <w:tab w:leader="none" w:pos="11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 in accordance with Item 601(b)(32) of Regulation S-K.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 /s/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Benjamin Kovler</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Chairman and Interim Chief Executive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 /s/ Brad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Brad Asher</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I,</w:t>
        <w:tab/>
        <w:t>Benjamin Kovler,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2026 of RYTHM,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4,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Benjamin Kovler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Interim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8"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I,</w:t>
        <w:tab/>
        <w:t>Brad Asher,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2026 of RYTHM,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4,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Brad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 Asher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08"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RYTHM, Inc. (the “Company”) on Form 10-Q, for the period ended September 30, 2026, as filed with the Securities and Exchange Commission on the date hereof (the “Report”), I, Benjamin Kovler, Chairman and Interim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20" w:firstLine="332"/>
        <w:spacing w:after="0" w:line="499" w:lineRule="auto"/>
        <w:tabs>
          <w:tab w:leader="none" w:pos="6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 November 4,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Benjamin Kovler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Interim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8"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RYTHM, Inc. (the “Company”) on Form 10-Q, for the period ended September 30, 2026, as filed with the Securities and Exchange Commission on the date hereof (the “Report”), I, Brad Asher,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20" w:firstLine="332"/>
        <w:spacing w:after="0" w:line="499" w:lineRule="auto"/>
        <w:tabs>
          <w:tab w:leader="none" w:pos="6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 November 4,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Brad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 Asher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upperLetter"/>
      <w:start w:val="6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bullet"/>
      <w:start w:val="1"/>
    </w:lvl>
  </w:abstractNum>
  <w:abstractNum w:abstractNumId="9">
    <w:nsid w:val="66EF438D"/>
    <w:multiLevelType w:val="hybridMultilevel"/>
    <w:lvl w:ilvl="0">
      <w:lvlJc w:val="left"/>
      <w:lvlText w:val="%1"/>
      <w:numFmt w:val="decimal"/>
      <w:start w:val="104"/>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62" Type="http://schemas.openxmlformats.org/officeDocument/2006/relationships/hyperlink" Target="https://www.sec.gov/Archives/edgar/data/1800637/000121390026087480/ea030146401ex10-1.htm" TargetMode="External"/><Relationship Id="rId63" Type="http://schemas.openxmlformats.org/officeDocument/2006/relationships/hyperlink" Target="https://www.sec.gov/Archives/edgar/data/1800637/000121390026110006/ea030862401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2026-11-04T06:10:52Z</dcterms:created>
  <dcterms:modified xsi:type="dcterms:W3CDTF">2026-11-04T06:10:52Z</dcterms:modified>
</cp:coreProperties>
</file>